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528AA" w:rsidR="00A86E55" w:rsidP="00CD11B8" w:rsidRDefault="00A86E55" w14:paraId="563bd4c" w14:textId="563bd4c">
      <w:pPr>
        <w:spacing w:after="0" w:line="240" w:lineRule="auto"/>
        <w:jc w:val="center"/>
        <w15:collapsed w:val="false"/>
        <w:rPr>
          <w:rFonts w:ascii="Arial" w:hAnsi="Arial" w:eastAsia="Times New Roman" w:cs="Arial"/>
          <w:bCs/>
          <w:sz w:val="24"/>
          <w:szCs w:val="24"/>
          <w:lang w:eastAsia="hr-HR"/>
        </w:rPr>
      </w:pPr>
      <w:r w:rsidRPr="001528AA">
        <w:rPr>
          <w:rFonts w:ascii="Arial" w:hAnsi="Arial" w:eastAsia="Times New Roman" w:cs="Arial"/>
          <w:bCs/>
          <w:sz w:val="24"/>
          <w:szCs w:val="24"/>
          <w:lang w:eastAsia="hr-HR"/>
        </w:rPr>
        <w:t>Z A P I S N I K</w:t>
      </w:r>
    </w:p>
    <w:p w:rsidRPr="001528AA" w:rsidR="00A86E55" w:rsidP="00DC27F2" w:rsidRDefault="00A86E55">
      <w:pPr>
        <w:spacing w:after="0" w:line="240" w:lineRule="auto"/>
        <w:jc w:val="center"/>
        <w:rPr>
          <w:rFonts w:ascii="Arial" w:hAnsi="Arial" w:eastAsia="Times New Roman" w:cs="Arial"/>
          <w:bCs/>
          <w:color w:val="000000" w:themeColor="text1"/>
          <w:sz w:val="24"/>
          <w:szCs w:val="24"/>
          <w:lang w:eastAsia="hr-HR"/>
        </w:rPr>
      </w:pPr>
      <w:r w:rsidRPr="001528AA">
        <w:rPr>
          <w:rFonts w:ascii="Arial" w:hAnsi="Arial" w:eastAsia="Times New Roman" w:cs="Arial"/>
          <w:bCs/>
          <w:sz w:val="24"/>
          <w:szCs w:val="24"/>
          <w:lang w:eastAsia="hr-HR"/>
        </w:rPr>
        <w:t xml:space="preserve">sastavljen </w:t>
      </w:r>
      <w:r w:rsidRPr="001528AA" w:rsidR="00803B22">
        <w:rPr>
          <w:rFonts w:ascii="Arial" w:hAnsi="Arial" w:eastAsia="Times New Roman" w:cs="Arial"/>
          <w:bCs/>
          <w:sz w:val="24"/>
          <w:szCs w:val="24"/>
          <w:lang w:eastAsia="hr-HR"/>
        </w:rPr>
        <w:t xml:space="preserve">u Trgovačkom sudu u Zadru </w:t>
      </w:r>
      <w:r w:rsidRPr="001528AA" w:rsidR="00CB15C0">
        <w:rPr>
          <w:rFonts w:ascii="Arial" w:hAnsi="Arial" w:eastAsia="Times New Roman" w:cs="Arial"/>
          <w:bCs/>
          <w:sz w:val="24"/>
          <w:szCs w:val="24"/>
          <w:lang w:eastAsia="hr-HR"/>
        </w:rPr>
        <w:t>2. svibnja</w:t>
      </w:r>
      <w:r w:rsidRPr="001528AA">
        <w:rPr>
          <w:rFonts w:ascii="Arial" w:hAnsi="Arial" w:eastAsia="Times New Roman" w:cs="Arial"/>
          <w:bCs/>
          <w:sz w:val="24"/>
          <w:szCs w:val="24"/>
          <w:lang w:eastAsia="hr-HR"/>
        </w:rPr>
        <w:t xml:space="preserve"> 20</w:t>
      </w:r>
      <w:r w:rsidRPr="001528AA" w:rsidR="00635B78">
        <w:rPr>
          <w:rFonts w:ascii="Arial" w:hAnsi="Arial" w:eastAsia="Times New Roman" w:cs="Arial"/>
          <w:bCs/>
          <w:sz w:val="24"/>
          <w:szCs w:val="24"/>
          <w:lang w:eastAsia="hr-HR"/>
        </w:rPr>
        <w:t>2</w:t>
      </w:r>
      <w:r w:rsidRPr="001528AA" w:rsidR="009A5E88">
        <w:rPr>
          <w:rFonts w:ascii="Arial" w:hAnsi="Arial" w:eastAsia="Times New Roman" w:cs="Arial"/>
          <w:bCs/>
          <w:sz w:val="24"/>
          <w:szCs w:val="24"/>
          <w:lang w:eastAsia="hr-HR"/>
        </w:rPr>
        <w:t>2</w:t>
      </w:r>
      <w:r w:rsidRPr="001528AA" w:rsidR="00803B22">
        <w:rPr>
          <w:rFonts w:ascii="Arial" w:hAnsi="Arial" w:eastAsia="Times New Roman" w:cs="Arial"/>
          <w:bCs/>
          <w:sz w:val="24"/>
          <w:szCs w:val="24"/>
          <w:lang w:eastAsia="hr-HR"/>
        </w:rPr>
        <w:t>.</w:t>
      </w:r>
      <w:r w:rsidRPr="001528AA" w:rsidR="00C31325">
        <w:rPr>
          <w:rFonts w:ascii="Arial" w:hAnsi="Arial" w:eastAsia="Times New Roman" w:cs="Arial"/>
          <w:bCs/>
          <w:sz w:val="24"/>
          <w:szCs w:val="24"/>
          <w:lang w:eastAsia="hr-HR"/>
        </w:rPr>
        <w:t xml:space="preserve"> sa završnog ročišta</w:t>
      </w:r>
      <w:r w:rsidRPr="001528AA">
        <w:rPr>
          <w:rFonts w:ascii="Arial" w:hAnsi="Arial" w:eastAsia="Times New Roman" w:cs="Arial"/>
          <w:bCs/>
          <w:sz w:val="24"/>
          <w:szCs w:val="24"/>
          <w:lang w:eastAsia="hr-HR"/>
        </w:rPr>
        <w:t xml:space="preserve"> u stečajnom postupku nad </w:t>
      </w:r>
      <w:r w:rsidRPr="001528AA" w:rsidR="00930752">
        <w:rPr>
          <w:rFonts w:ascii="Arial" w:hAnsi="Arial" w:eastAsia="Times New Roman" w:cs="Arial"/>
          <w:bCs/>
          <w:sz w:val="24"/>
          <w:szCs w:val="24"/>
          <w:lang w:eastAsia="hr-HR"/>
        </w:rPr>
        <w:t xml:space="preserve">stečajnim </w:t>
      </w:r>
      <w:r w:rsidR="00DC27F2">
        <w:rPr>
          <w:rFonts w:ascii="Arial" w:hAnsi="Arial" w:eastAsia="Times New Roman" w:cs="Arial"/>
          <w:bCs/>
          <w:sz w:val="24"/>
          <w:szCs w:val="24"/>
          <w:lang w:eastAsia="hr-HR"/>
        </w:rPr>
        <w:t xml:space="preserve">dužnikom </w:t>
      </w:r>
      <w:r w:rsidRPr="001528AA" w:rsidR="00CB15C0">
        <w:rPr>
          <w:rFonts w:ascii="Arial" w:hAnsi="Arial" w:eastAsia="Times New Roman" w:cs="Arial"/>
          <w:bCs/>
          <w:sz w:val="24"/>
          <w:szCs w:val="24"/>
          <w:lang w:eastAsia="hr-HR"/>
        </w:rPr>
        <w:t>KRKA-INŽENJERING, d.o.o. u stečaju, Stjepana Radića 42, Šibenik, OIB:33708054502</w:t>
      </w:r>
    </w:p>
    <w:p w:rsidRPr="001528AA" w:rsidR="00A86E55" w:rsidP="00A31D2D" w:rsidRDefault="00A86E55">
      <w:pPr>
        <w:spacing w:after="0" w:line="240" w:lineRule="auto"/>
        <w:jc w:val="center"/>
        <w:rPr>
          <w:rFonts w:ascii="Arial" w:hAnsi="Arial" w:eastAsia="Times New Roman" w:cs="Arial"/>
          <w:bCs/>
          <w:sz w:val="24"/>
          <w:szCs w:val="24"/>
          <w:lang w:eastAsia="hr-HR"/>
        </w:rPr>
      </w:pPr>
    </w:p>
    <w:p w:rsidR="00DC27F2" w:rsidP="00A86E55" w:rsidRDefault="00DC27F2">
      <w:pPr>
        <w:spacing w:after="0" w:line="240" w:lineRule="auto"/>
        <w:rPr>
          <w:rFonts w:ascii="Arial" w:hAnsi="Arial" w:eastAsia="Times New Roman" w:cs="Arial"/>
          <w:bCs/>
          <w:sz w:val="24"/>
          <w:szCs w:val="24"/>
          <w:lang w:eastAsia="hr-HR"/>
        </w:rPr>
      </w:pPr>
    </w:p>
    <w:p w:rsidRPr="001528AA" w:rsidR="00A86E55" w:rsidP="00A86E55" w:rsidRDefault="00803B22">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Nazočni od suda</w:t>
      </w:r>
      <w:r w:rsidRPr="001528AA" w:rsidR="00A86E55">
        <w:rPr>
          <w:rFonts w:ascii="Arial" w:hAnsi="Arial" w:eastAsia="Times New Roman" w:cs="Arial"/>
          <w:bCs/>
          <w:sz w:val="24"/>
          <w:szCs w:val="24"/>
          <w:lang w:eastAsia="hr-HR"/>
        </w:rPr>
        <w:t>:</w:t>
      </w:r>
    </w:p>
    <w:p w:rsidRPr="001528AA" w:rsidR="00A86E55" w:rsidP="00A86E55" w:rsidRDefault="00A86E55">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Tina Grgas, sutkinja </w:t>
      </w:r>
    </w:p>
    <w:p w:rsidRPr="001528AA" w:rsidR="00A86E55" w:rsidP="00A86E55" w:rsidRDefault="00A86E55">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Nena Mužanović, zapisničarka</w:t>
      </w:r>
    </w:p>
    <w:p w:rsidRPr="001528AA" w:rsidR="00477CDC" w:rsidP="00882989" w:rsidRDefault="00CE69A8">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Početak u </w:t>
      </w:r>
      <w:r w:rsidRPr="001528AA" w:rsidR="00CB15C0">
        <w:rPr>
          <w:rFonts w:ascii="Arial" w:hAnsi="Arial" w:eastAsia="Times New Roman" w:cs="Arial"/>
          <w:bCs/>
          <w:sz w:val="24"/>
          <w:szCs w:val="24"/>
          <w:lang w:eastAsia="hr-HR"/>
        </w:rPr>
        <w:t>9</w:t>
      </w:r>
      <w:r w:rsidRPr="001528AA" w:rsidR="004842C7">
        <w:rPr>
          <w:rFonts w:ascii="Arial" w:hAnsi="Arial" w:eastAsia="Times New Roman" w:cs="Arial"/>
          <w:bCs/>
          <w:sz w:val="24"/>
          <w:szCs w:val="24"/>
          <w:lang w:eastAsia="hr-HR"/>
        </w:rPr>
        <w:t>:</w:t>
      </w:r>
      <w:r w:rsidRPr="001528AA" w:rsidR="00CB15C0">
        <w:rPr>
          <w:rFonts w:ascii="Arial" w:hAnsi="Arial" w:eastAsia="Times New Roman" w:cs="Arial"/>
          <w:bCs/>
          <w:sz w:val="24"/>
          <w:szCs w:val="24"/>
          <w:lang w:eastAsia="hr-HR"/>
        </w:rPr>
        <w:t>0</w:t>
      </w:r>
      <w:r w:rsidRPr="001528AA" w:rsidR="009A5E88">
        <w:rPr>
          <w:rFonts w:ascii="Arial" w:hAnsi="Arial" w:eastAsia="Times New Roman" w:cs="Arial"/>
          <w:bCs/>
          <w:sz w:val="24"/>
          <w:szCs w:val="24"/>
          <w:lang w:eastAsia="hr-HR"/>
        </w:rPr>
        <w:t>0</w:t>
      </w:r>
      <w:r w:rsidRPr="001528AA" w:rsidR="00C31325">
        <w:rPr>
          <w:rFonts w:ascii="Arial" w:hAnsi="Arial" w:eastAsia="Times New Roman" w:cs="Arial"/>
          <w:bCs/>
          <w:sz w:val="24"/>
          <w:szCs w:val="24"/>
          <w:lang w:eastAsia="hr-HR"/>
        </w:rPr>
        <w:t xml:space="preserve"> sati</w:t>
      </w:r>
    </w:p>
    <w:p w:rsidRPr="001528AA" w:rsidR="00CB15C0" w:rsidP="00CB15C0" w:rsidRDefault="00CB15C0">
      <w:pPr>
        <w:spacing w:after="0" w:line="240" w:lineRule="auto"/>
        <w:rPr>
          <w:rFonts w:ascii="Arial" w:hAnsi="Arial" w:eastAsia="Times New Roman" w:cs="Arial"/>
          <w:bCs/>
          <w:sz w:val="24"/>
          <w:szCs w:val="24"/>
          <w:lang w:eastAsia="hr-HR"/>
        </w:rPr>
      </w:pPr>
    </w:p>
    <w:p w:rsidRPr="001528AA" w:rsidR="00CB15C0" w:rsidP="00CB15C0" w:rsidRDefault="00CB15C0">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Utvrđuje se da su na završno ročište pristupili:</w:t>
      </w:r>
    </w:p>
    <w:p w:rsidRPr="001528AA" w:rsidR="00CB15C0" w:rsidP="00CB15C0" w:rsidRDefault="00DC27F2">
      <w:pPr>
        <w:spacing w:after="0" w:line="240" w:lineRule="auto"/>
        <w:rPr>
          <w:rFonts w:ascii="Arial" w:hAnsi="Arial" w:eastAsia="Times New Roman" w:cs="Arial"/>
          <w:bCs/>
          <w:sz w:val="24"/>
          <w:szCs w:val="24"/>
          <w:lang w:eastAsia="hr-HR"/>
        </w:rPr>
      </w:pPr>
      <w:r>
        <w:rPr>
          <w:rFonts w:ascii="Arial" w:hAnsi="Arial" w:eastAsia="Times New Roman" w:cs="Arial"/>
          <w:bCs/>
          <w:sz w:val="24"/>
          <w:szCs w:val="24"/>
          <w:lang w:eastAsia="hr-HR"/>
        </w:rPr>
        <w:t xml:space="preserve">Za stečajnog dužnika: </w:t>
      </w:r>
      <w:r w:rsidRPr="001528AA" w:rsidR="00CB15C0">
        <w:rPr>
          <w:rFonts w:ascii="Arial" w:hAnsi="Arial" w:eastAsia="Times New Roman" w:cs="Arial"/>
          <w:bCs/>
          <w:sz w:val="24"/>
          <w:szCs w:val="24"/>
          <w:lang w:eastAsia="hr-HR"/>
        </w:rPr>
        <w:t xml:space="preserve">stečajni upravitelj Nikola Krvavica iz Ivana Zeline </w:t>
      </w:r>
    </w:p>
    <w:p w:rsidR="00DC27F2" w:rsidP="00DC27F2" w:rsidRDefault="00CB15C0">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Za stečajne vjerovnike: </w:t>
      </w:r>
    </w:p>
    <w:p w:rsidRPr="00DC27F2" w:rsidR="00CB15C0" w:rsidP="00DC27F2" w:rsidRDefault="001528AA">
      <w:pPr>
        <w:spacing w:after="0" w:line="240" w:lineRule="auto"/>
        <w:rPr>
          <w:rFonts w:ascii="Arial" w:hAnsi="Arial" w:eastAsia="Times New Roman" w:cs="Arial"/>
          <w:bCs/>
          <w:sz w:val="24"/>
          <w:szCs w:val="24"/>
          <w:lang w:eastAsia="hr-HR"/>
        </w:rPr>
      </w:pPr>
      <w:r>
        <w:rPr>
          <w:rFonts w:ascii="Arial" w:hAnsi="Arial" w:eastAsia="Times New Roman" w:cs="Arial"/>
          <w:sz w:val="24"/>
          <w:szCs w:val="24"/>
          <w:lang w:eastAsia="hr-HR"/>
        </w:rPr>
        <w:t>SPV</w:t>
      </w:r>
      <w:r w:rsidR="00DC27F2">
        <w:rPr>
          <w:rFonts w:ascii="Arial" w:hAnsi="Arial" w:eastAsia="Times New Roman" w:cs="Arial"/>
          <w:sz w:val="24"/>
          <w:szCs w:val="24"/>
          <w:lang w:eastAsia="hr-HR"/>
        </w:rPr>
        <w:t xml:space="preserve"> ZA SANACIJU d.o.o., Zagreb</w:t>
      </w:r>
      <w:r w:rsidR="00260FCC">
        <w:rPr>
          <w:rFonts w:ascii="Arial" w:hAnsi="Arial" w:eastAsia="Times New Roman" w:cs="Arial"/>
          <w:sz w:val="24"/>
          <w:szCs w:val="24"/>
          <w:lang w:eastAsia="hr-HR"/>
        </w:rPr>
        <w:t xml:space="preserve"> </w:t>
      </w:r>
      <w:r w:rsidR="00DC27F2">
        <w:rPr>
          <w:rFonts w:ascii="Arial" w:hAnsi="Arial" w:eastAsia="Times New Roman" w:cs="Arial"/>
          <w:sz w:val="24"/>
          <w:szCs w:val="24"/>
          <w:lang w:eastAsia="hr-HR"/>
        </w:rPr>
        <w:t>-</w:t>
      </w:r>
      <w:r w:rsidR="00260FCC">
        <w:rPr>
          <w:rFonts w:ascii="Arial" w:hAnsi="Arial" w:eastAsia="Times New Roman" w:cs="Arial"/>
          <w:sz w:val="24"/>
          <w:szCs w:val="24"/>
          <w:lang w:eastAsia="hr-HR"/>
        </w:rPr>
        <w:t xml:space="preserve"> </w:t>
      </w:r>
      <w:r w:rsidR="00DC27F2">
        <w:rPr>
          <w:rFonts w:ascii="Arial" w:hAnsi="Arial" w:eastAsia="Times New Roman" w:cs="Arial"/>
          <w:sz w:val="24"/>
          <w:szCs w:val="24"/>
          <w:lang w:eastAsia="hr-HR"/>
        </w:rPr>
        <w:t xml:space="preserve">po </w:t>
      </w:r>
      <w:r w:rsidRPr="001528AA" w:rsidR="00CB15C0">
        <w:rPr>
          <w:rFonts w:ascii="Arial" w:hAnsi="Arial" w:eastAsia="Times New Roman" w:cs="Arial"/>
          <w:sz w:val="24"/>
          <w:szCs w:val="24"/>
          <w:lang w:eastAsia="hr-HR"/>
        </w:rPr>
        <w:t>punomoćnik</w:t>
      </w:r>
      <w:r w:rsidR="00DC27F2">
        <w:rPr>
          <w:rFonts w:ascii="Arial" w:hAnsi="Arial" w:eastAsia="Times New Roman" w:cs="Arial"/>
          <w:sz w:val="24"/>
          <w:szCs w:val="24"/>
          <w:lang w:eastAsia="hr-HR"/>
        </w:rPr>
        <w:t>u Antoniu</w:t>
      </w:r>
      <w:r w:rsidRPr="001528AA" w:rsidR="00CB15C0">
        <w:rPr>
          <w:rFonts w:ascii="Arial" w:hAnsi="Arial" w:eastAsia="Times New Roman" w:cs="Arial"/>
          <w:sz w:val="24"/>
          <w:szCs w:val="24"/>
          <w:lang w:eastAsia="hr-HR"/>
        </w:rPr>
        <w:t xml:space="preserve"> </w:t>
      </w:r>
      <w:proofErr w:type="spellStart"/>
      <w:r w:rsidRPr="001528AA" w:rsidR="00CB15C0">
        <w:rPr>
          <w:rFonts w:ascii="Arial" w:hAnsi="Arial" w:eastAsia="Times New Roman" w:cs="Arial"/>
          <w:sz w:val="24"/>
          <w:szCs w:val="24"/>
          <w:lang w:eastAsia="hr-HR"/>
        </w:rPr>
        <w:t>Zujić</w:t>
      </w:r>
      <w:r w:rsidR="00DC27F2">
        <w:rPr>
          <w:rFonts w:ascii="Arial" w:hAnsi="Arial" w:eastAsia="Times New Roman" w:cs="Arial"/>
          <w:sz w:val="24"/>
          <w:szCs w:val="24"/>
          <w:lang w:eastAsia="hr-HR"/>
        </w:rPr>
        <w:t>u</w:t>
      </w:r>
      <w:proofErr w:type="spellEnd"/>
      <w:r w:rsidRPr="001528AA" w:rsidR="00CB15C0">
        <w:rPr>
          <w:rFonts w:ascii="Arial" w:hAnsi="Arial" w:eastAsia="Times New Roman" w:cs="Arial"/>
          <w:sz w:val="24"/>
          <w:szCs w:val="24"/>
          <w:lang w:eastAsia="hr-HR"/>
        </w:rPr>
        <w:t>, odvjetnik</w:t>
      </w:r>
      <w:r w:rsidR="00DC27F2">
        <w:rPr>
          <w:rFonts w:ascii="Arial" w:hAnsi="Arial" w:eastAsia="Times New Roman" w:cs="Arial"/>
          <w:sz w:val="24"/>
          <w:szCs w:val="24"/>
          <w:lang w:eastAsia="hr-HR"/>
        </w:rPr>
        <w:t>u</w:t>
      </w:r>
      <w:r w:rsidRPr="001528AA" w:rsidR="00CB15C0">
        <w:rPr>
          <w:rFonts w:ascii="Arial" w:hAnsi="Arial" w:eastAsia="Times New Roman" w:cs="Arial"/>
          <w:sz w:val="24"/>
          <w:szCs w:val="24"/>
          <w:lang w:eastAsia="hr-HR"/>
        </w:rPr>
        <w:t xml:space="preserve"> iz Zagreba</w:t>
      </w:r>
    </w:p>
    <w:p w:rsidRPr="001528AA" w:rsidR="00CB15C0" w:rsidP="00CB15C0" w:rsidRDefault="00CB15C0">
      <w:pPr>
        <w:spacing w:after="0" w:line="240" w:lineRule="auto"/>
        <w:contextualSpacing/>
        <w:jc w:val="both"/>
        <w:rPr>
          <w:rFonts w:ascii="Arial" w:hAnsi="Arial" w:eastAsia="Times New Roman" w:cs="Arial"/>
          <w:sz w:val="24"/>
          <w:szCs w:val="24"/>
          <w:lang w:eastAsia="hr-HR"/>
        </w:rPr>
      </w:pPr>
    </w:p>
    <w:p w:rsidR="00EA1D41" w:rsidP="00CB15C0" w:rsidRDefault="00DC27F2">
      <w:pPr>
        <w:spacing w:after="0" w:line="240" w:lineRule="auto"/>
        <w:jc w:val="both"/>
        <w:rPr>
          <w:rFonts w:ascii="Arial" w:hAnsi="Arial" w:cs="Arial"/>
          <w:sz w:val="24"/>
          <w:szCs w:val="24"/>
        </w:rPr>
      </w:pPr>
      <w:r>
        <w:rPr>
          <w:rFonts w:ascii="Arial" w:hAnsi="Arial" w:eastAsia="Times New Roman" w:cs="Arial"/>
          <w:bCs/>
          <w:sz w:val="24"/>
          <w:szCs w:val="24"/>
          <w:lang w:eastAsia="hr-HR"/>
        </w:rPr>
        <w:t xml:space="preserve">Utvrđuje se da je </w:t>
      </w:r>
      <w:r w:rsidR="00EA1D41">
        <w:rPr>
          <w:rFonts w:ascii="Arial" w:hAnsi="Arial" w:cs="Arial"/>
          <w:sz w:val="24"/>
          <w:szCs w:val="24"/>
        </w:rPr>
        <w:t xml:space="preserve">zaključkom ovog suda poslovni broj St-947/2016-557 od 29. ožujka 2022. koji je istog dana uredno objavljen na mrežnoj stranici e-Oglasna ploča sudova, utvrđeno da će predmet </w:t>
      </w:r>
      <w:r>
        <w:rPr>
          <w:rFonts w:ascii="Arial" w:hAnsi="Arial" w:eastAsia="Times New Roman" w:cs="Arial"/>
          <w:bCs/>
          <w:sz w:val="24"/>
          <w:szCs w:val="24"/>
          <w:lang w:eastAsia="hr-HR"/>
        </w:rPr>
        <w:t xml:space="preserve">današnjeg završnog ročišta </w:t>
      </w:r>
      <w:r w:rsidR="00EA1D41">
        <w:rPr>
          <w:rFonts w:ascii="Arial" w:hAnsi="Arial" w:eastAsia="Times New Roman" w:cs="Arial"/>
          <w:bCs/>
          <w:sz w:val="24"/>
          <w:szCs w:val="24"/>
          <w:lang w:eastAsia="hr-HR"/>
        </w:rPr>
        <w:t xml:space="preserve">biti </w:t>
      </w:r>
      <w:r>
        <w:rPr>
          <w:rFonts w:ascii="Arial" w:hAnsi="Arial" w:cs="Arial"/>
          <w:sz w:val="24"/>
          <w:szCs w:val="24"/>
        </w:rPr>
        <w:t xml:space="preserve">raspravljanje </w:t>
      </w:r>
      <w:r w:rsidRPr="004A2F3D">
        <w:rPr>
          <w:rFonts w:ascii="Arial" w:hAnsi="Arial" w:cs="Arial"/>
          <w:sz w:val="24"/>
          <w:szCs w:val="24"/>
        </w:rPr>
        <w:t>o završnom računu stečajnog upravitelja</w:t>
      </w:r>
      <w:r>
        <w:rPr>
          <w:rFonts w:ascii="Arial" w:hAnsi="Arial" w:cs="Arial"/>
          <w:sz w:val="24"/>
          <w:szCs w:val="24"/>
        </w:rPr>
        <w:t xml:space="preserve"> od 17. ožujka 2022. kao i</w:t>
      </w:r>
      <w:r w:rsidRPr="004A2F3D">
        <w:rPr>
          <w:rFonts w:ascii="Arial" w:hAnsi="Arial" w:cs="Arial"/>
          <w:sz w:val="24"/>
          <w:szCs w:val="24"/>
        </w:rPr>
        <w:t xml:space="preserve"> </w:t>
      </w:r>
      <w:r>
        <w:rPr>
          <w:rFonts w:ascii="Arial" w:hAnsi="Arial" w:cs="Arial"/>
          <w:sz w:val="24"/>
          <w:szCs w:val="24"/>
        </w:rPr>
        <w:t xml:space="preserve">raspravljanje o </w:t>
      </w:r>
      <w:r w:rsidRPr="004A2F3D">
        <w:rPr>
          <w:rFonts w:ascii="Arial" w:hAnsi="Arial" w:cs="Arial"/>
          <w:sz w:val="24"/>
          <w:szCs w:val="24"/>
        </w:rPr>
        <w:t>mogućim prigovorima na završni (diobni) popi</w:t>
      </w:r>
      <w:r>
        <w:rPr>
          <w:rFonts w:ascii="Arial" w:hAnsi="Arial" w:cs="Arial"/>
          <w:sz w:val="24"/>
          <w:szCs w:val="24"/>
        </w:rPr>
        <w:t>s stečajnog upravitelja od istog dana</w:t>
      </w:r>
      <w:r w:rsidR="00EA1D41">
        <w:rPr>
          <w:rFonts w:ascii="Arial" w:hAnsi="Arial" w:cs="Arial"/>
          <w:sz w:val="24"/>
          <w:szCs w:val="24"/>
        </w:rPr>
        <w:t xml:space="preserve">. </w:t>
      </w:r>
    </w:p>
    <w:p w:rsidR="00DC27F2" w:rsidP="00CB15C0" w:rsidRDefault="00DC27F2">
      <w:pPr>
        <w:spacing w:after="0" w:line="240" w:lineRule="auto"/>
        <w:jc w:val="both"/>
        <w:rPr>
          <w:rFonts w:ascii="Arial" w:hAnsi="Arial" w:cs="Arial"/>
          <w:sz w:val="24"/>
          <w:szCs w:val="24"/>
        </w:rPr>
      </w:pPr>
    </w:p>
    <w:p w:rsidRPr="001528AA" w:rsidR="00B223E6" w:rsidP="00B223E6" w:rsidRDefault="00B223E6">
      <w:pPr>
        <w:spacing w:after="0" w:line="240" w:lineRule="auto"/>
        <w:jc w:val="both"/>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Utvrđuje </w:t>
      </w:r>
      <w:r>
        <w:rPr>
          <w:rFonts w:ascii="Arial" w:hAnsi="Arial" w:eastAsia="Times New Roman" w:cs="Arial"/>
          <w:bCs/>
          <w:sz w:val="24"/>
          <w:szCs w:val="24"/>
          <w:lang w:eastAsia="hr-HR"/>
        </w:rPr>
        <w:t xml:space="preserve">se da </w:t>
      </w:r>
      <w:r w:rsidRPr="001528AA">
        <w:rPr>
          <w:rFonts w:ascii="Arial" w:hAnsi="Arial" w:eastAsia="Times New Roman" w:cs="Arial"/>
          <w:bCs/>
          <w:sz w:val="24"/>
          <w:szCs w:val="24"/>
          <w:lang w:eastAsia="hr-HR"/>
        </w:rPr>
        <w:t xml:space="preserve">je na današnjem ročištu </w:t>
      </w:r>
      <w:r>
        <w:rPr>
          <w:rFonts w:ascii="Arial" w:hAnsi="Arial" w:eastAsia="Times New Roman" w:cs="Arial"/>
          <w:bCs/>
          <w:sz w:val="24"/>
          <w:szCs w:val="24"/>
          <w:lang w:eastAsia="hr-HR"/>
        </w:rPr>
        <w:t xml:space="preserve">nazočan vjerovnik SPV za sanaciju d.o.o. Zagreb sa 100% pravom glasa. </w:t>
      </w:r>
    </w:p>
    <w:p w:rsidR="00B223E6" w:rsidP="00B223E6" w:rsidRDefault="00B223E6">
      <w:pPr>
        <w:spacing w:after="0" w:line="240" w:lineRule="auto"/>
        <w:jc w:val="both"/>
        <w:rPr>
          <w:rFonts w:ascii="Arial" w:hAnsi="Arial" w:eastAsia="Times New Roman" w:cs="Arial"/>
          <w:bCs/>
          <w:sz w:val="24"/>
          <w:szCs w:val="24"/>
          <w:lang w:eastAsia="hr-HR"/>
        </w:rPr>
      </w:pPr>
    </w:p>
    <w:p w:rsidR="00DC27F2" w:rsidP="00DC27F2" w:rsidRDefault="00DC27F2">
      <w:pPr>
        <w:spacing w:after="0" w:line="240" w:lineRule="auto"/>
        <w:jc w:val="both"/>
        <w:rPr>
          <w:rFonts w:ascii="Arial" w:hAnsi="Arial" w:eastAsia="Times New Roman" w:cs="Arial"/>
          <w:sz w:val="24"/>
          <w:szCs w:val="24"/>
          <w:lang w:eastAsia="hr-HR"/>
        </w:rPr>
      </w:pPr>
      <w:r>
        <w:rPr>
          <w:rFonts w:ascii="Arial" w:hAnsi="Arial" w:cs="Arial"/>
          <w:sz w:val="24"/>
          <w:szCs w:val="24"/>
        </w:rPr>
        <w:t xml:space="preserve">Međutim, prije </w:t>
      </w:r>
      <w:r w:rsidR="00C65A80">
        <w:rPr>
          <w:rFonts w:ascii="Arial" w:hAnsi="Arial" w:cs="Arial"/>
          <w:sz w:val="24"/>
          <w:szCs w:val="24"/>
        </w:rPr>
        <w:t xml:space="preserve">samog </w:t>
      </w:r>
      <w:r>
        <w:rPr>
          <w:rFonts w:ascii="Arial" w:hAnsi="Arial" w:cs="Arial"/>
          <w:sz w:val="24"/>
          <w:szCs w:val="24"/>
        </w:rPr>
        <w:t xml:space="preserve">izlaganja </w:t>
      </w:r>
      <w:r>
        <w:rPr>
          <w:rFonts w:ascii="Arial" w:hAnsi="Arial" w:eastAsia="Times New Roman" w:cs="Arial"/>
          <w:sz w:val="24"/>
          <w:szCs w:val="24"/>
          <w:lang w:eastAsia="hr-HR"/>
        </w:rPr>
        <w:t xml:space="preserve">završnog izvješća od strane stečajnog upravitelja, uredujuća sutkinja u bitnom izlaže dosadašnji tijek predmetnog stečajnog postupka s posebnim osvrtom na određena sporna </w:t>
      </w:r>
      <w:r w:rsidR="00C65A80">
        <w:rPr>
          <w:rFonts w:ascii="Arial" w:hAnsi="Arial" w:eastAsia="Times New Roman" w:cs="Arial"/>
          <w:sz w:val="24"/>
          <w:szCs w:val="24"/>
          <w:lang w:eastAsia="hr-HR"/>
        </w:rPr>
        <w:t xml:space="preserve">i važna </w:t>
      </w:r>
      <w:r>
        <w:rPr>
          <w:rFonts w:ascii="Arial" w:hAnsi="Arial" w:eastAsia="Times New Roman" w:cs="Arial"/>
          <w:sz w:val="24"/>
          <w:szCs w:val="24"/>
          <w:lang w:eastAsia="hr-HR"/>
        </w:rPr>
        <w:t>pita</w:t>
      </w:r>
      <w:r w:rsidR="00C65A80">
        <w:rPr>
          <w:rFonts w:ascii="Arial" w:hAnsi="Arial" w:eastAsia="Times New Roman" w:cs="Arial"/>
          <w:sz w:val="24"/>
          <w:szCs w:val="24"/>
          <w:lang w:eastAsia="hr-HR"/>
        </w:rPr>
        <w:t xml:space="preserve">nja koja je potrebno raspraviti, </w:t>
      </w:r>
      <w:r>
        <w:rPr>
          <w:rFonts w:ascii="Arial" w:hAnsi="Arial" w:eastAsia="Times New Roman" w:cs="Arial"/>
          <w:sz w:val="24"/>
          <w:szCs w:val="24"/>
          <w:lang w:eastAsia="hr-HR"/>
        </w:rPr>
        <w:t xml:space="preserve">a na koja </w:t>
      </w:r>
      <w:r w:rsidR="00C65A80">
        <w:rPr>
          <w:rFonts w:ascii="Arial" w:hAnsi="Arial" w:eastAsia="Times New Roman" w:cs="Arial"/>
          <w:sz w:val="24"/>
          <w:szCs w:val="24"/>
          <w:lang w:eastAsia="hr-HR"/>
        </w:rPr>
        <w:t xml:space="preserve">pitanja </w:t>
      </w:r>
      <w:r>
        <w:rPr>
          <w:rFonts w:ascii="Arial" w:hAnsi="Arial" w:eastAsia="Times New Roman" w:cs="Arial"/>
          <w:sz w:val="24"/>
          <w:szCs w:val="24"/>
          <w:lang w:eastAsia="hr-HR"/>
        </w:rPr>
        <w:t>su ovom sudu tijekom cijelog postupka ukazivali Slaven Cukrov i Alemka Cukrov u brojnim podnescima, pritužbama, zahtjevima i žalbama koje prileže spisu predmeta.</w:t>
      </w:r>
    </w:p>
    <w:p w:rsidR="00C65A80" w:rsidP="00DC27F2" w:rsidRDefault="00C65A80">
      <w:pPr>
        <w:spacing w:after="0" w:line="240" w:lineRule="auto"/>
        <w:jc w:val="both"/>
        <w:rPr>
          <w:rFonts w:ascii="Arial" w:hAnsi="Arial" w:eastAsia="Times New Roman" w:cs="Arial"/>
          <w:sz w:val="24"/>
          <w:szCs w:val="24"/>
          <w:lang w:eastAsia="hr-HR"/>
        </w:rPr>
      </w:pPr>
    </w:p>
    <w:p w:rsidRPr="00F61958" w:rsidR="00EA1D41" w:rsidP="00EA1D41" w:rsidRDefault="00C65A80">
      <w:pPr>
        <w:spacing w:after="0" w:line="240" w:lineRule="auto"/>
        <w:jc w:val="both"/>
        <w:rPr>
          <w:rFonts w:ascii="Arial" w:hAnsi="Arial" w:cs="Arial"/>
          <w:b/>
        </w:rPr>
      </w:pPr>
      <w:r>
        <w:rPr>
          <w:rFonts w:ascii="Arial" w:hAnsi="Arial" w:eastAsia="Times New Roman" w:cs="Arial"/>
          <w:sz w:val="24"/>
          <w:szCs w:val="24"/>
          <w:lang w:eastAsia="hr-HR"/>
        </w:rPr>
        <w:t>Uzimajući u obzir sve okolnosti konkretnog slučaja, a osobito dugotrajnost predmetnog stečajnog postupka, više sudskih rješavatelja koji su prethodno postupali u istome, učestalost rješavanja istoga od strane viših sudova povodom brojnih žalbi Slavena Cukrova protiv donesenih prvostupanjskih odluka, opsežnost spisa predmeta koji trenutno sadržava oko 4 tisuće stranica i koji je uredujućoj sutkinji dodijeljen u rad u ožujku 2022. povodom donošenja odluke o prihvaćanju zahtjeva za izuzeće sutkinje koje je prethodno rješavala u istome</w:t>
      </w:r>
      <w:r w:rsidR="00EA1D41">
        <w:rPr>
          <w:rFonts w:ascii="Arial" w:hAnsi="Arial" w:eastAsia="Times New Roman" w:cs="Arial"/>
          <w:sz w:val="24"/>
          <w:szCs w:val="24"/>
          <w:lang w:eastAsia="hr-HR"/>
        </w:rPr>
        <w:t xml:space="preserve"> (prethodno </w:t>
      </w:r>
      <w:r>
        <w:rPr>
          <w:rFonts w:ascii="Arial" w:hAnsi="Arial" w:eastAsia="Times New Roman" w:cs="Arial"/>
          <w:sz w:val="24"/>
          <w:szCs w:val="24"/>
          <w:lang w:eastAsia="hr-HR"/>
        </w:rPr>
        <w:t xml:space="preserve">izuzeća </w:t>
      </w:r>
      <w:r w:rsidR="00EA1D41">
        <w:rPr>
          <w:rFonts w:ascii="Arial" w:hAnsi="Arial" w:eastAsia="Times New Roman" w:cs="Arial"/>
          <w:sz w:val="24"/>
          <w:szCs w:val="24"/>
          <w:lang w:eastAsia="hr-HR"/>
        </w:rPr>
        <w:t xml:space="preserve">i </w:t>
      </w:r>
      <w:r>
        <w:rPr>
          <w:rFonts w:ascii="Arial" w:hAnsi="Arial" w:eastAsia="Times New Roman" w:cs="Arial"/>
          <w:sz w:val="24"/>
          <w:szCs w:val="24"/>
          <w:lang w:eastAsia="hr-HR"/>
        </w:rPr>
        <w:t>ranije rješavateljice)</w:t>
      </w:r>
      <w:r w:rsidR="00EA1D41">
        <w:rPr>
          <w:rFonts w:ascii="Arial" w:hAnsi="Arial" w:eastAsia="Times New Roman" w:cs="Arial"/>
          <w:sz w:val="24"/>
          <w:szCs w:val="24"/>
          <w:lang w:eastAsia="hr-HR"/>
        </w:rPr>
        <w:t xml:space="preserve">, to je prema </w:t>
      </w:r>
      <w:r>
        <w:rPr>
          <w:rFonts w:ascii="Arial" w:hAnsi="Arial" w:eastAsia="Times New Roman" w:cs="Arial"/>
          <w:sz w:val="24"/>
          <w:szCs w:val="24"/>
          <w:lang w:eastAsia="hr-HR"/>
        </w:rPr>
        <w:t xml:space="preserve">stajalištu uredujuće sutkinje potrebno ponovno razmotriti određena pravna pitanja koja se </w:t>
      </w:r>
      <w:r w:rsidR="00EA1D41">
        <w:rPr>
          <w:rFonts w:ascii="Arial" w:hAnsi="Arial" w:eastAsia="Times New Roman" w:cs="Arial"/>
          <w:sz w:val="24"/>
          <w:szCs w:val="24"/>
          <w:lang w:eastAsia="hr-HR"/>
        </w:rPr>
        <w:t>prvenstveno odnose na pravni položaj</w:t>
      </w:r>
      <w:r>
        <w:rPr>
          <w:rFonts w:ascii="Arial" w:hAnsi="Arial" w:eastAsia="Times New Roman" w:cs="Arial"/>
          <w:sz w:val="24"/>
          <w:szCs w:val="24"/>
          <w:lang w:eastAsia="hr-HR"/>
        </w:rPr>
        <w:t xml:space="preserve"> Slavena Cukrova i Alemke Cukrov u predmetnom postupku</w:t>
      </w:r>
      <w:r w:rsidR="00EA1D41">
        <w:rPr>
          <w:rFonts w:ascii="Arial" w:hAnsi="Arial" w:eastAsia="Times New Roman" w:cs="Arial"/>
          <w:sz w:val="24"/>
          <w:szCs w:val="24"/>
          <w:lang w:eastAsia="hr-HR"/>
        </w:rPr>
        <w:t xml:space="preserve">, kao i pitanja koja se tiču zakonitosti </w:t>
      </w:r>
      <w:r w:rsidR="00EA1D41">
        <w:rPr>
          <w:rFonts w:ascii="Arial" w:hAnsi="Arial" w:eastAsia="Times New Roman" w:cs="Arial"/>
          <w:bCs/>
          <w:sz w:val="24"/>
          <w:szCs w:val="24"/>
          <w:lang w:eastAsia="hr-HR"/>
        </w:rPr>
        <w:t>odluka</w:t>
      </w:r>
      <w:r w:rsidRPr="001528AA" w:rsidR="00EA1D41">
        <w:rPr>
          <w:rFonts w:ascii="Arial" w:hAnsi="Arial" w:eastAsia="Times New Roman" w:cs="Arial"/>
          <w:bCs/>
          <w:sz w:val="24"/>
          <w:szCs w:val="24"/>
          <w:lang w:eastAsia="hr-HR"/>
        </w:rPr>
        <w:t xml:space="preserve"> skupštine vjerovnika </w:t>
      </w:r>
      <w:r w:rsidR="00EA1D41">
        <w:rPr>
          <w:rFonts w:ascii="Arial" w:hAnsi="Arial" w:eastAsia="Times New Roman" w:cs="Arial"/>
          <w:bCs/>
          <w:sz w:val="24"/>
          <w:szCs w:val="24"/>
          <w:lang w:eastAsia="hr-HR"/>
        </w:rPr>
        <w:t>donesenih</w:t>
      </w:r>
      <w:r w:rsidRPr="001528AA" w:rsidR="00EA1D41">
        <w:rPr>
          <w:rFonts w:ascii="Arial" w:hAnsi="Arial" w:eastAsia="Times New Roman" w:cs="Arial"/>
          <w:bCs/>
          <w:sz w:val="24"/>
          <w:szCs w:val="24"/>
          <w:lang w:eastAsia="hr-HR"/>
        </w:rPr>
        <w:t xml:space="preserve"> na </w:t>
      </w:r>
      <w:r w:rsidR="00EA1D41">
        <w:rPr>
          <w:rFonts w:ascii="Arial" w:hAnsi="Arial" w:eastAsia="Times New Roman" w:cs="Arial"/>
          <w:bCs/>
          <w:sz w:val="24"/>
          <w:szCs w:val="24"/>
          <w:lang w:eastAsia="hr-HR"/>
        </w:rPr>
        <w:t xml:space="preserve">skupštini vjerovnika od 30 studenog 2021., a kojima je dano ovlaštenje stečajnom upravitelju na povlačenje </w:t>
      </w:r>
      <w:r w:rsidR="00EA1D41">
        <w:rPr>
          <w:rFonts w:ascii="Arial" w:hAnsi="Arial" w:cs="Arial"/>
        </w:rPr>
        <w:t>tužbi</w:t>
      </w:r>
      <w:r w:rsidRPr="00113377" w:rsidR="00EA1D41">
        <w:rPr>
          <w:rFonts w:ascii="Arial" w:hAnsi="Arial" w:cs="Arial"/>
        </w:rPr>
        <w:t>/</w:t>
      </w:r>
      <w:r w:rsidR="00EA1D41">
        <w:rPr>
          <w:rFonts w:ascii="Arial" w:hAnsi="Arial" w:cs="Arial"/>
        </w:rPr>
        <w:t xml:space="preserve"> </w:t>
      </w:r>
      <w:r w:rsidRPr="00113377" w:rsidR="00EA1D41">
        <w:rPr>
          <w:rFonts w:ascii="Arial" w:hAnsi="Arial" w:cs="Arial"/>
        </w:rPr>
        <w:t>prijedlog</w:t>
      </w:r>
      <w:r w:rsidR="00EA1D41">
        <w:rPr>
          <w:rFonts w:ascii="Arial" w:hAnsi="Arial" w:cs="Arial"/>
        </w:rPr>
        <w:t>a</w:t>
      </w:r>
      <w:r w:rsidRPr="00113377" w:rsidR="00EA1D41">
        <w:rPr>
          <w:rFonts w:ascii="Arial" w:hAnsi="Arial" w:cs="Arial"/>
        </w:rPr>
        <w:t xml:space="preserve"> za osiguranje u slijedećim parničnim odnosno izvanparničnim postupcima:</w:t>
      </w:r>
      <w:r w:rsidR="00EA1D41">
        <w:rPr>
          <w:rFonts w:ascii="Arial" w:hAnsi="Arial" w:cs="Arial"/>
        </w:rPr>
        <w:t xml:space="preserve"> </w:t>
      </w:r>
      <w:r w:rsidRPr="00B223E6" w:rsidR="00EA1D41">
        <w:rPr>
          <w:rFonts w:ascii="Arial" w:hAnsi="Arial" w:cs="Arial"/>
        </w:rPr>
        <w:t>P-183/2015, P-115/2016</w:t>
      </w:r>
      <w:r w:rsidRPr="002A6826" w:rsidR="00EA1D41">
        <w:rPr>
          <w:rFonts w:ascii="Arial" w:hAnsi="Arial" w:cs="Arial"/>
          <w:b/>
        </w:rPr>
        <w:t xml:space="preserve">, </w:t>
      </w:r>
      <w:r w:rsidRPr="00EA1D41" w:rsidR="00EA1D41">
        <w:rPr>
          <w:rFonts w:ascii="Arial" w:hAnsi="Arial" w:cs="Arial"/>
        </w:rPr>
        <w:t>R1-38/2016</w:t>
      </w:r>
      <w:r w:rsidR="00EA1D41">
        <w:rPr>
          <w:rFonts w:ascii="Arial" w:hAnsi="Arial" w:cs="Arial"/>
        </w:rPr>
        <w:t xml:space="preserve"> i </w:t>
      </w:r>
      <w:r w:rsidRPr="00EA1D41" w:rsidR="00EA1D41">
        <w:rPr>
          <w:rFonts w:ascii="Arial" w:hAnsi="Arial" w:cs="Arial"/>
        </w:rPr>
        <w:t>P-319/2015.</w:t>
      </w:r>
    </w:p>
    <w:p w:rsidRPr="001528AA" w:rsidR="00EA1D41" w:rsidP="00EA1D41" w:rsidRDefault="00EA1D41">
      <w:pPr>
        <w:spacing w:after="0" w:line="240" w:lineRule="auto"/>
        <w:jc w:val="both"/>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 </w:t>
      </w:r>
    </w:p>
    <w:p w:rsidR="00C65A80" w:rsidP="00C65A80" w:rsidRDefault="00400968">
      <w:pPr>
        <w:spacing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Prvo pitanje </w:t>
      </w:r>
      <w:r w:rsidR="00C65A80">
        <w:rPr>
          <w:rFonts w:ascii="Arial" w:hAnsi="Arial" w:eastAsia="Times New Roman" w:cs="Arial"/>
          <w:sz w:val="24"/>
          <w:szCs w:val="24"/>
          <w:lang w:eastAsia="hr-HR"/>
        </w:rPr>
        <w:t xml:space="preserve">posebice iz razloga jer iz isprava iz spisa predmeta i to ugovora o dugoročnom kreditu br. 64/12 od 5. lipnja 2012. sklopljenog između Jadranske banke </w:t>
      </w:r>
      <w:r w:rsidR="00C65A80">
        <w:rPr>
          <w:rFonts w:ascii="Arial" w:hAnsi="Arial" w:eastAsia="Times New Roman" w:cs="Arial"/>
          <w:sz w:val="24"/>
          <w:szCs w:val="24"/>
          <w:lang w:eastAsia="hr-HR"/>
        </w:rPr>
        <w:lastRenderedPageBreak/>
        <w:t xml:space="preserve">d.d., Šibenik i stečajnog dužnika (stranica 3614 do 3618 spisa) te sporazuma o osiguranju novčane tražbine u iznosu od 6.500.000,00 kuna (proizašle iz navedenog ugovora o dugoročnom kreditu) sklopljenog dana 12. lipnja 2012. između Jadranske banke d.d., Šibenik, stečajnog dužnika, Alemke Cukrov i Slavena Cukrova, a solemniziranog od strane javnog bilježnika Igora Lučeva iz Šibenika 14. lipnja 2012. pod brojem OV-5879/12 (stranica 3606-3613 spisa), jasno proizlazi da su Slaven Cukrov i Alemka Cukrov jamci po navedenim obvezama stečajnog dužnika, odnosno jamci u smislu odredbe čl. 143. st. 2. Stečajnog zakona. </w:t>
      </w:r>
    </w:p>
    <w:p w:rsidR="00C65A80" w:rsidP="00C65A80" w:rsidRDefault="00C65A80">
      <w:pPr>
        <w:spacing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Naime, o</w:t>
      </w:r>
      <w:r w:rsidRPr="00D256B3">
        <w:rPr>
          <w:rFonts w:ascii="Arial" w:hAnsi="Arial" w:eastAsia="Times New Roman" w:cs="Arial"/>
          <w:sz w:val="24"/>
          <w:szCs w:val="24"/>
          <w:lang w:eastAsia="hr-HR"/>
        </w:rPr>
        <w:t>dredbom čl. 143. Stečajnog zakona (</w:t>
      </w:r>
      <w:r>
        <w:rPr>
          <w:rFonts w:ascii="Arial" w:hAnsi="Arial" w:eastAsia="Times New Roman" w:cs="Arial"/>
          <w:sz w:val="24"/>
          <w:szCs w:val="24"/>
          <w:lang w:eastAsia="hr-HR"/>
        </w:rPr>
        <w:t>"</w:t>
      </w:r>
      <w:r w:rsidRPr="00D256B3">
        <w:rPr>
          <w:rFonts w:ascii="Arial" w:hAnsi="Arial" w:cs="Arial"/>
          <w:sz w:val="24"/>
          <w:szCs w:val="24"/>
        </w:rPr>
        <w:t>Narodne novine</w:t>
      </w:r>
      <w:r>
        <w:rPr>
          <w:rFonts w:ascii="Arial" w:hAnsi="Arial" w:cs="Arial"/>
          <w:sz w:val="24"/>
          <w:szCs w:val="24"/>
        </w:rPr>
        <w:t>"</w:t>
      </w:r>
      <w:r w:rsidRPr="00D256B3">
        <w:rPr>
          <w:rFonts w:ascii="Arial" w:hAnsi="Arial" w:cs="Arial"/>
          <w:sz w:val="24"/>
          <w:szCs w:val="24"/>
        </w:rPr>
        <w:t xml:space="preserve"> broj 71/15, 104/17 i 36/22; dalje: SZ) </w:t>
      </w:r>
      <w:r w:rsidRPr="00D256B3">
        <w:rPr>
          <w:rFonts w:ascii="Arial" w:hAnsi="Arial" w:eastAsia="Times New Roman" w:cs="Arial"/>
          <w:sz w:val="24"/>
          <w:szCs w:val="24"/>
          <w:lang w:eastAsia="hr-HR"/>
        </w:rPr>
        <w:t>reguliran je status solidarnih dužnika i jamaca u stečajnom postupku pa je tako st. 1. ove odredbe propisano da solidarni dužnici i jamci dužnika mogu kao stečajni vjerovnici tražiti da im se vrati ono što su za dužnika platili prije ili nakon dana otvaranja stečajnoga postupka, ako im pripada pravo na vraćanje isplaćenoga prema dužniku. Također, odredbom stavka 2. ovog članka jasno je propisano da solidarni dužnici i jamci mogu podnijeti zahtjev da im se osigura iznos što će ga platiti za dužnika razmjerno iznosu koji bi im pripao kao stečajnim vjerovnicima.</w:t>
      </w:r>
    </w:p>
    <w:p w:rsidR="00C65A80" w:rsidP="00C65A80" w:rsidRDefault="00C65A80">
      <w:pPr>
        <w:spacing w:after="0" w:line="240" w:lineRule="auto"/>
        <w:jc w:val="both"/>
        <w:rPr>
          <w:rFonts w:ascii="Arial" w:hAnsi="Arial" w:eastAsia="Times New Roman" w:cs="Arial"/>
          <w:sz w:val="24"/>
          <w:szCs w:val="24"/>
          <w:lang w:eastAsia="hr-HR"/>
        </w:rPr>
      </w:pPr>
      <w:r w:rsidRPr="00F57807">
        <w:rPr>
          <w:rFonts w:ascii="Arial" w:hAnsi="Arial" w:eastAsia="Times New Roman" w:cs="Arial"/>
          <w:sz w:val="24"/>
          <w:szCs w:val="24"/>
          <w:lang w:eastAsia="hr-HR"/>
        </w:rPr>
        <w:t xml:space="preserve">Također, za napomenuti je da je odredbom čl. 114. Zakona o obveznim odnosima </w:t>
      </w:r>
      <w:r w:rsidRPr="00F57807">
        <w:rPr>
          <w:rFonts w:ascii="Arial" w:hAnsi="Arial" w:cs="Arial"/>
          <w:sz w:val="24"/>
          <w:szCs w:val="24"/>
        </w:rPr>
        <w:t>(</w:t>
      </w:r>
      <w:r>
        <w:rPr>
          <w:rFonts w:ascii="Arial" w:hAnsi="Arial" w:cs="Arial"/>
          <w:sz w:val="24"/>
          <w:szCs w:val="24"/>
        </w:rPr>
        <w:t>"</w:t>
      </w:r>
      <w:r w:rsidRPr="00F57807">
        <w:rPr>
          <w:rFonts w:ascii="Arial" w:hAnsi="Arial" w:cs="Arial"/>
          <w:sz w:val="24"/>
          <w:szCs w:val="24"/>
        </w:rPr>
        <w:t>Narodne novine</w:t>
      </w:r>
      <w:r>
        <w:rPr>
          <w:rFonts w:ascii="Arial" w:hAnsi="Arial" w:cs="Arial"/>
          <w:sz w:val="24"/>
          <w:szCs w:val="24"/>
        </w:rPr>
        <w:t>"</w:t>
      </w:r>
      <w:r w:rsidRPr="00F57807">
        <w:rPr>
          <w:rFonts w:ascii="Arial" w:hAnsi="Arial" w:cs="Arial"/>
          <w:sz w:val="24"/>
          <w:szCs w:val="24"/>
        </w:rPr>
        <w:t xml:space="preserve"> br. 35/05, 41/08, 125/11, 78/15, 29/18 i 126/21; dalje: ZOO) uređen pravni položaj tj. prava i obveze glavnog dužnika, jamca i vjerovnika u slučaju otvaranja stečajnog postupka nad glavnim dužnikom. Tako je stavkom 1. ove odredbe propisano da je u slučaju </w:t>
      </w:r>
      <w:r w:rsidRPr="00F57807">
        <w:rPr>
          <w:rFonts w:ascii="Arial" w:hAnsi="Arial" w:eastAsia="Times New Roman" w:cs="Arial"/>
          <w:sz w:val="24"/>
          <w:szCs w:val="24"/>
          <w:lang w:eastAsia="hr-HR"/>
        </w:rPr>
        <w:t xml:space="preserve">stečaja glavnog dužnika vjerovnik dužan prijaviti svoju tražbinu u stečaj i o tome obavijestiti jamca te da inače odgovara jamcu za štetu koju bi ovaj imao zbog toga. Također, stavkom 2. ove odredbe </w:t>
      </w:r>
      <w:r w:rsidRPr="00F57807">
        <w:rPr>
          <w:rFonts w:ascii="Arial" w:hAnsi="Arial" w:cs="Arial"/>
          <w:sz w:val="24"/>
          <w:szCs w:val="24"/>
        </w:rPr>
        <w:t xml:space="preserve">propisano je da </w:t>
      </w:r>
      <w:r w:rsidRPr="00F57807">
        <w:rPr>
          <w:rFonts w:ascii="Arial" w:hAnsi="Arial" w:eastAsia="Times New Roman" w:cs="Arial"/>
          <w:sz w:val="24"/>
          <w:szCs w:val="24"/>
          <w:lang w:eastAsia="hr-HR"/>
        </w:rPr>
        <w:t>smanjenje obveze glavnog dužnika u stečajnom postupku ne povlači za sobom i odgovarajuće smanjenje jamčeve obveze, te da jamac odgovara vjerovniku za cijeli iznos svoje obveze.</w:t>
      </w:r>
    </w:p>
    <w:p w:rsidR="00C65A80" w:rsidP="00C65A80" w:rsidRDefault="00C65A80">
      <w:pPr>
        <w:spacing w:after="0" w:line="240" w:lineRule="auto"/>
        <w:jc w:val="both"/>
        <w:rPr>
          <w:rFonts w:ascii="Arial" w:hAnsi="Arial" w:eastAsia="Times New Roman" w:cs="Arial"/>
          <w:sz w:val="24"/>
          <w:szCs w:val="24"/>
          <w:lang w:eastAsia="hr-HR"/>
        </w:rPr>
      </w:pPr>
    </w:p>
    <w:p w:rsidR="00C65A80" w:rsidP="00C65A80" w:rsidRDefault="00C65A8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Sukladno citiranim odredbama, a prema stajalištu ovog suda, solidarni dužnici i jamci stečajnog dužnika koji su već izvršili isplatu obveze za stečajnog dužnika, prije ili nakon otvaranja stečajnog postupka, stekli su pravo regresa i svoju tražbinu mogu ostvarivati podnošenjem prijave tražbine stečajnom upravitelju kao i svi drugi stečajni vjerovnici. Dakle, osobe koje su bile dužnikovi jamci ili sudužnici mogu biti pozvane od strane vjerovnika na plaćanje duga umjesto stečajnog dužnika te u odnosu na njihove tražbine za vraćanje onoga što su dale za stečajnog dužnika prije otvaranja stečajnog postupku (pravo regresa) imaju status stečajnih vjerovnika. </w:t>
      </w:r>
    </w:p>
    <w:p w:rsidR="00C65A80" w:rsidP="00C65A80" w:rsidRDefault="00C65A80">
      <w:pPr>
        <w:spacing w:after="0" w:line="240" w:lineRule="auto"/>
        <w:jc w:val="both"/>
        <w:rPr>
          <w:rFonts w:ascii="Arial" w:hAnsi="Arial" w:eastAsia="Times New Roman" w:cs="Arial"/>
          <w:sz w:val="24"/>
          <w:szCs w:val="24"/>
          <w:lang w:eastAsia="hr-HR"/>
        </w:rPr>
      </w:pPr>
    </w:p>
    <w:p w:rsidR="00C65A80" w:rsidP="00C65A80" w:rsidRDefault="00C65A8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Međutim, moguće je da u trenutku otvaranja stečajnog postupka nad dužnikom solidarni dužnici i jamci još nisu pozvani od strane vjerovnika na plaćanje umjesto stečajnog dužnika zbog čega im je u ovom slučaju, prema stajalištu ovog suda, dano pravo da već od trenutka otvaranja stečajnog postupka tj. tijekom stečajnog postupka nad glavnim dužnikom, postave svoj zahtjev  za osiguranje iznosa što će ga kasnije platiti za dužnika i to razmjerno iznosu koji bi im pripao kao stečajnim vjerovnicima. Naime, ovo pravo im je dano kako bi se zaštitili budući da u trenutku otvaranja stečajnog postupka još uvijek nemaju tražbinu prema stečajnom dužniku pa ne mogu ni izvršiti prijavu svoje tražbine jer još nisu stekli pravo regresa prema istome. Oni prema stečajnom dužniku nemaju tražbine i slijedom toga nisu stečajni vjerovnici, već uvjetni vjerovnici. Kako ne mogu prijaviti svoju tražbinu koju u tom trenutku nemaju, tako se izlažu opasnosti da u budućnosti kada izvrše isplatu za stečajnog dužnika, više ne mogu ostvarivati svoja prava jer je dioba stečajne mase već provedena. </w:t>
      </w:r>
      <w:r>
        <w:rPr>
          <w:rFonts w:ascii="Arial" w:hAnsi="Arial" w:eastAsia="Times New Roman" w:cs="Arial"/>
          <w:sz w:val="24"/>
          <w:szCs w:val="24"/>
          <w:lang w:eastAsia="hr-HR"/>
        </w:rPr>
        <w:lastRenderedPageBreak/>
        <w:t xml:space="preserve">Upravo zbog navedenog, solidarni dužnici i jamci imaju sukladno odredbi čl. 143. st. 2. Stečajnog zakona pravo podnijeti/uputiti zahtjev stečajnom upravitelju (ne prijavu tražbine) da im se osigura iznos što će ga platiti za dužnika razmjerno iznosu koji bi im pripao kao stečajnim vjerovnicima. </w:t>
      </w:r>
    </w:p>
    <w:p w:rsidR="009941B6" w:rsidP="00C65A80" w:rsidRDefault="009941B6">
      <w:pPr>
        <w:spacing w:after="0" w:line="240" w:lineRule="auto"/>
        <w:jc w:val="both"/>
        <w:rPr>
          <w:rFonts w:ascii="Arial" w:hAnsi="Arial" w:eastAsia="Times New Roman" w:cs="Arial"/>
          <w:sz w:val="24"/>
          <w:szCs w:val="24"/>
          <w:lang w:eastAsia="hr-HR"/>
        </w:rPr>
      </w:pPr>
    </w:p>
    <w:p w:rsidR="009941B6" w:rsidP="00C65A80" w:rsidRDefault="009941B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 konkretno slučaju, naprijed navedeno znači da će Slaven Cukrov i Alemka Cukrov u slučaju da jednog dana nešto plate za dužnika po predmetnim ugovorima po kreditu i drugim ispravama koje prate ovaj ugovor, moći podnijeti zahtjev stečajnom upravitelju da im se osigura upravo taj iznos kojeg su za dužnika eventualno platili, a uz podnošenje u spis odgovarajućih isprava kojima to dokazuju. U tom slučaju, a nakon što dokažu kada su i što platili, u ovom predmetom postupku imati će status stečajnih vjerovnika za taj plaćeni iznos te će ih se u slučaju naknadne diobe ili daljnjih potencijalnih unovčenja imovine u ovom postupku, tretirati kao i ostale stečajne vjerovnike, razmjerno iznosu kojeg su platili. S obzirom da u ovom trenutku, a prema stanju spisa te navodima stečajnog upravitelja nema dovoljno sredstava niti za namirenje većinskog </w:t>
      </w:r>
      <w:proofErr w:type="spellStart"/>
      <w:r>
        <w:rPr>
          <w:rFonts w:ascii="Arial" w:hAnsi="Arial" w:eastAsia="Times New Roman" w:cs="Arial"/>
          <w:sz w:val="24"/>
          <w:szCs w:val="24"/>
          <w:lang w:eastAsia="hr-HR"/>
        </w:rPr>
        <w:t>razlučnog</w:t>
      </w:r>
      <w:proofErr w:type="spellEnd"/>
      <w:r>
        <w:rPr>
          <w:rFonts w:ascii="Arial" w:hAnsi="Arial" w:eastAsia="Times New Roman" w:cs="Arial"/>
          <w:sz w:val="24"/>
          <w:szCs w:val="24"/>
          <w:lang w:eastAsia="hr-HR"/>
        </w:rPr>
        <w:t xml:space="preserve"> / stečajnog vjerovnika, to će se ovaj zahtjev eventualno ostvariti u slučaju da se ispune zakonske pretpostavke iz čl. 143 .st. 2. Stečajnog zakona tj. zakonske pretpostavke za pristupanje naknadnoj diobi. Također se ukazuje da je svakako potrebno pratiti tijek kaznenog postupka </w:t>
      </w:r>
      <w:proofErr w:type="spellStart"/>
      <w:r>
        <w:rPr>
          <w:rFonts w:ascii="Arial" w:hAnsi="Arial" w:eastAsia="Times New Roman" w:cs="Arial"/>
          <w:sz w:val="24"/>
          <w:szCs w:val="24"/>
          <w:lang w:eastAsia="hr-HR"/>
        </w:rPr>
        <w:t>prred</w:t>
      </w:r>
      <w:proofErr w:type="spellEnd"/>
      <w:r>
        <w:rPr>
          <w:rFonts w:ascii="Arial" w:hAnsi="Arial" w:eastAsia="Times New Roman" w:cs="Arial"/>
          <w:sz w:val="24"/>
          <w:szCs w:val="24"/>
          <w:lang w:eastAsia="hr-HR"/>
        </w:rPr>
        <w:t xml:space="preserve"> Općinskim sudom u Šibeniku K-401/2018 u kojem je 1. ožujka 2021. donesene nepravomoćna presuda protiv Slavena Cukrova zbog počinjenja kaznenog djela protiv imovine, utajom, sve u odnosu na pokretnine na koje je ukazivao stečajni upravitelj. S obzirom da se ovaj spis povodom žalbe Slavena Cukrova nalazi na Županijskom sudu u Dubrovniku, to je po pravomoćnosti navedenog postupka potrebno poduzimati radnje u svrhu utvrđenja gdje se predmetne pokretnine nalaze, a u svrhu naknadnog obogaćenja tj. očuvanja stečajne mase.    </w:t>
      </w:r>
    </w:p>
    <w:p w:rsidR="00DC7436" w:rsidP="00C65A80" w:rsidRDefault="00DC7436">
      <w:pPr>
        <w:spacing w:after="0" w:line="240" w:lineRule="auto"/>
        <w:jc w:val="both"/>
        <w:rPr>
          <w:rFonts w:ascii="Arial" w:hAnsi="Arial" w:eastAsia="Times New Roman" w:cs="Arial"/>
          <w:sz w:val="24"/>
          <w:szCs w:val="24"/>
          <w:lang w:eastAsia="hr-HR"/>
        </w:rPr>
      </w:pPr>
    </w:p>
    <w:p w:rsidR="006A6324" w:rsidP="00C65A80" w:rsidRDefault="00DC743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Dakle, zaključno, </w:t>
      </w:r>
      <w:proofErr w:type="spellStart"/>
      <w:r>
        <w:rPr>
          <w:rFonts w:ascii="Arial" w:hAnsi="Arial" w:eastAsia="Times New Roman" w:cs="Arial"/>
          <w:sz w:val="24"/>
          <w:szCs w:val="24"/>
          <w:lang w:eastAsia="hr-HR"/>
        </w:rPr>
        <w:t>uredujuća</w:t>
      </w:r>
      <w:proofErr w:type="spellEnd"/>
      <w:r>
        <w:rPr>
          <w:rFonts w:ascii="Arial" w:hAnsi="Arial" w:eastAsia="Times New Roman" w:cs="Arial"/>
          <w:sz w:val="24"/>
          <w:szCs w:val="24"/>
          <w:lang w:eastAsia="hr-HR"/>
        </w:rPr>
        <w:t xml:space="preserve"> sutkinja zbog svega naprijed navedenog smatra da je u predmetnom postupku prvotno potrebno donijeti odluku o ukidanju odluke skupštine vjerovnika s ročišta od 30. studenog 2021. koja glasi:“1.Ovlašćuje se stečajni upravitelj da preuzme </w:t>
      </w:r>
      <w:r w:rsidR="006A6324">
        <w:rPr>
          <w:rFonts w:ascii="Arial" w:hAnsi="Arial" w:eastAsia="Times New Roman" w:cs="Arial"/>
          <w:sz w:val="24"/>
          <w:szCs w:val="24"/>
          <w:lang w:eastAsia="hr-HR"/>
        </w:rPr>
        <w:t>parnične</w:t>
      </w:r>
      <w:r>
        <w:rPr>
          <w:rFonts w:ascii="Arial" w:hAnsi="Arial" w:eastAsia="Times New Roman" w:cs="Arial"/>
          <w:sz w:val="24"/>
          <w:szCs w:val="24"/>
          <w:lang w:eastAsia="hr-HR"/>
        </w:rPr>
        <w:t xml:space="preserve"> </w:t>
      </w:r>
      <w:r w:rsidR="006A6324">
        <w:rPr>
          <w:rFonts w:ascii="Arial" w:hAnsi="Arial" w:eastAsia="Times New Roman" w:cs="Arial"/>
          <w:sz w:val="24"/>
          <w:szCs w:val="24"/>
          <w:lang w:eastAsia="hr-HR"/>
        </w:rPr>
        <w:t>postupke</w:t>
      </w:r>
      <w:r>
        <w:rPr>
          <w:rFonts w:ascii="Arial" w:hAnsi="Arial" w:eastAsia="Times New Roman" w:cs="Arial"/>
          <w:sz w:val="24"/>
          <w:szCs w:val="24"/>
          <w:lang w:eastAsia="hr-HR"/>
        </w:rPr>
        <w:t xml:space="preserve"> koji su prekinuti otvaranjem stečajnog postupka nad </w:t>
      </w:r>
      <w:r w:rsidR="006A6324">
        <w:rPr>
          <w:rFonts w:ascii="Arial" w:hAnsi="Arial" w:eastAsia="Times New Roman" w:cs="Arial"/>
          <w:sz w:val="24"/>
          <w:szCs w:val="24"/>
          <w:lang w:eastAsia="hr-HR"/>
        </w:rPr>
        <w:t>dužnikom</w:t>
      </w:r>
      <w:r>
        <w:rPr>
          <w:rFonts w:ascii="Arial" w:hAnsi="Arial" w:eastAsia="Times New Roman" w:cs="Arial"/>
          <w:sz w:val="24"/>
          <w:szCs w:val="24"/>
          <w:lang w:eastAsia="hr-HR"/>
        </w:rPr>
        <w:t>,, te da nakon preuzimanja i nas</w:t>
      </w:r>
      <w:r w:rsidR="00B223E6">
        <w:rPr>
          <w:rFonts w:ascii="Arial" w:hAnsi="Arial" w:eastAsia="Times New Roman" w:cs="Arial"/>
          <w:sz w:val="24"/>
          <w:szCs w:val="24"/>
          <w:lang w:eastAsia="hr-HR"/>
        </w:rPr>
        <w:t>tavka postupka odustane od tužbe/</w:t>
      </w:r>
      <w:r>
        <w:rPr>
          <w:rFonts w:ascii="Arial" w:hAnsi="Arial" w:eastAsia="Times New Roman" w:cs="Arial"/>
          <w:sz w:val="24"/>
          <w:szCs w:val="24"/>
          <w:lang w:eastAsia="hr-HR"/>
        </w:rPr>
        <w:t xml:space="preserve">povuče tužbu, odnosno </w:t>
      </w:r>
      <w:r w:rsidR="006A6324">
        <w:rPr>
          <w:rFonts w:ascii="Arial" w:hAnsi="Arial" w:eastAsia="Times New Roman" w:cs="Arial"/>
          <w:sz w:val="24"/>
          <w:szCs w:val="24"/>
          <w:lang w:eastAsia="hr-HR"/>
        </w:rPr>
        <w:t>prijedlog</w:t>
      </w:r>
      <w:r>
        <w:rPr>
          <w:rFonts w:ascii="Arial" w:hAnsi="Arial" w:eastAsia="Times New Roman" w:cs="Arial"/>
          <w:sz w:val="24"/>
          <w:szCs w:val="24"/>
          <w:lang w:eastAsia="hr-HR"/>
        </w:rPr>
        <w:t xml:space="preserve"> za osiguranje u slijedećim parničnim odnosno izvanparničnim postupcima</w:t>
      </w:r>
      <w:r w:rsidR="00B223E6">
        <w:rPr>
          <w:rFonts w:ascii="Arial" w:hAnsi="Arial" w:eastAsia="Times New Roman" w:cs="Arial"/>
          <w:sz w:val="24"/>
          <w:szCs w:val="24"/>
          <w:lang w:eastAsia="hr-HR"/>
        </w:rPr>
        <w:t>;</w:t>
      </w:r>
      <w:r w:rsidR="006A6324">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P-183/15, P-115/16, </w:t>
      </w:r>
      <w:proofErr w:type="spellStart"/>
      <w:r>
        <w:rPr>
          <w:rFonts w:ascii="Arial" w:hAnsi="Arial" w:eastAsia="Times New Roman" w:cs="Arial"/>
          <w:sz w:val="24"/>
          <w:szCs w:val="24"/>
          <w:lang w:eastAsia="hr-HR"/>
        </w:rPr>
        <w:t>Povrv</w:t>
      </w:r>
      <w:proofErr w:type="spellEnd"/>
      <w:r>
        <w:rPr>
          <w:rFonts w:ascii="Arial" w:hAnsi="Arial" w:eastAsia="Times New Roman" w:cs="Arial"/>
          <w:sz w:val="24"/>
          <w:szCs w:val="24"/>
          <w:lang w:eastAsia="hr-HR"/>
        </w:rPr>
        <w:t>-535/2015 i R1-38/2016</w:t>
      </w:r>
      <w:r w:rsidR="006A6324">
        <w:rPr>
          <w:rFonts w:ascii="Arial" w:hAnsi="Arial" w:eastAsia="Times New Roman" w:cs="Arial"/>
          <w:sz w:val="24"/>
          <w:szCs w:val="24"/>
          <w:lang w:eastAsia="hr-HR"/>
        </w:rPr>
        <w:t xml:space="preserve">“. Naime, potonje iz razloga jer je prema stajalištu ovog suda riječ o nezakonitoj odluci u smislu odredbe čl. 108. Stečajnog zakona koja je protivna zajedničkom interesu stečajnih vjerovnika, a koju će sud bez obzira na suglasnost stečajnog upravitelja i stečajnih vjerovnika, donijeti po službenoj dužnosti prije donošenja odluke o samom zaključenju predmetnog stečajnog postupka. </w:t>
      </w:r>
    </w:p>
    <w:p w:rsidR="006A6324" w:rsidP="00C65A80" w:rsidRDefault="006A6324">
      <w:pPr>
        <w:spacing w:after="0" w:line="240" w:lineRule="auto"/>
        <w:jc w:val="both"/>
        <w:rPr>
          <w:rFonts w:ascii="Arial" w:hAnsi="Arial" w:eastAsia="Times New Roman" w:cs="Arial"/>
          <w:sz w:val="24"/>
          <w:szCs w:val="24"/>
          <w:lang w:eastAsia="hr-HR"/>
        </w:rPr>
      </w:pPr>
    </w:p>
    <w:p w:rsidR="00DC7436" w:rsidP="00C65A80" w:rsidRDefault="006A632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Također se utvrđuje da je ovaj sud za potrebe predmetnog postupka pribavio te izvršio uvid u sve naprijed navedene spise predmeta te da je od stečajnog upravitelja zatražio usmeno očitovanje na okolnost je li u predmetu Trgovačkog suda u Zagrebu </w:t>
      </w:r>
      <w:proofErr w:type="spellStart"/>
      <w:r>
        <w:rPr>
          <w:rFonts w:ascii="Arial" w:hAnsi="Arial" w:eastAsia="Times New Roman" w:cs="Arial"/>
          <w:sz w:val="24"/>
          <w:szCs w:val="24"/>
          <w:lang w:eastAsia="hr-HR"/>
        </w:rPr>
        <w:t>posl</w:t>
      </w:r>
      <w:proofErr w:type="spellEnd"/>
      <w:r>
        <w:rPr>
          <w:rFonts w:ascii="Arial" w:hAnsi="Arial" w:eastAsia="Times New Roman" w:cs="Arial"/>
          <w:sz w:val="24"/>
          <w:szCs w:val="24"/>
          <w:lang w:eastAsia="hr-HR"/>
        </w:rPr>
        <w:t>. br. P-318/2015</w:t>
      </w:r>
      <w:r w:rsidR="00DC7436">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povukao tužbu., a na koju okolnost je stečajni upravitelji izjavio ovom sudu da je tužba u ovom predmetu protiv tuženika Vodoskok d.d. Zagreb u međuvremenu već povučena.  </w:t>
      </w:r>
    </w:p>
    <w:p w:rsidR="006A6324" w:rsidP="00C65A80" w:rsidRDefault="006A6324">
      <w:pPr>
        <w:spacing w:after="0" w:line="240" w:lineRule="auto"/>
        <w:jc w:val="both"/>
        <w:rPr>
          <w:rFonts w:ascii="Arial" w:hAnsi="Arial" w:eastAsia="Times New Roman" w:cs="Arial"/>
          <w:sz w:val="24"/>
          <w:szCs w:val="24"/>
          <w:lang w:eastAsia="hr-HR"/>
        </w:rPr>
      </w:pPr>
    </w:p>
    <w:p w:rsidR="006A6324" w:rsidP="00C65A80" w:rsidRDefault="006A632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Također se napominje da je u daljnjem tijeku postupka, a u slučaju nastupanja pravomoćnosti odluke ovog suda o ukidanju naprijed navedenih odluka skupštine vjerovnika, potrebno donijeti odluku o tome tko će zastupati stečajno dužnika / </w:t>
      </w:r>
      <w:r>
        <w:rPr>
          <w:rFonts w:ascii="Arial" w:hAnsi="Arial" w:eastAsia="Times New Roman" w:cs="Arial"/>
          <w:sz w:val="24"/>
          <w:szCs w:val="24"/>
          <w:lang w:eastAsia="hr-HR"/>
        </w:rPr>
        <w:lastRenderedPageBreak/>
        <w:t>tužitelja u naprijed navedenim postupcima, a zbog čega također ne bi bilo svrsi shodno zaključiti stečajni postupak prije nego što se ova važna i sporna pitanja prethodno riješe.</w:t>
      </w:r>
    </w:p>
    <w:p w:rsidR="006A6324" w:rsidP="00C65A80" w:rsidRDefault="006A6324">
      <w:pPr>
        <w:spacing w:after="0" w:line="240" w:lineRule="auto"/>
        <w:jc w:val="both"/>
        <w:rPr>
          <w:rFonts w:ascii="Arial" w:hAnsi="Arial" w:eastAsia="Times New Roman" w:cs="Arial"/>
          <w:sz w:val="24"/>
          <w:szCs w:val="24"/>
          <w:lang w:eastAsia="hr-HR"/>
        </w:rPr>
      </w:pPr>
    </w:p>
    <w:p w:rsidR="006A6324" w:rsidP="00C65A80" w:rsidRDefault="006A632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Stečajni upravitelj navodi da se ne protivi donošenju odluke suda o ukidanju naprijed navedenih odluka skupštine vjerovnika s ročišta 30. studenog 2021.g te da u tim pravcu i sam podnosi zahtjev za ukidanjem istih u smislu odredbe čl. 108. Stečajnog zakona, a sve iz razloga jer je nakon dužeg izlaganja od strane </w:t>
      </w:r>
      <w:proofErr w:type="spellStart"/>
      <w:r>
        <w:rPr>
          <w:rFonts w:ascii="Arial" w:hAnsi="Arial" w:eastAsia="Times New Roman" w:cs="Arial"/>
          <w:sz w:val="24"/>
          <w:szCs w:val="24"/>
          <w:lang w:eastAsia="hr-HR"/>
        </w:rPr>
        <w:t>uredujuće</w:t>
      </w:r>
      <w:proofErr w:type="spellEnd"/>
      <w:r>
        <w:rPr>
          <w:rFonts w:ascii="Arial" w:hAnsi="Arial" w:eastAsia="Times New Roman" w:cs="Arial"/>
          <w:sz w:val="24"/>
          <w:szCs w:val="24"/>
          <w:lang w:eastAsia="hr-HR"/>
        </w:rPr>
        <w:t xml:space="preserve"> sutkinje naprijed navedenih važnih pitanja, ipak svrsishodno nastaviti navedene postupke u kojima je stečajni dužnik još prije otvaranja stečajnog postupka postavio zahtjeve za utvrđenjem </w:t>
      </w:r>
      <w:proofErr w:type="spellStart"/>
      <w:r>
        <w:rPr>
          <w:rFonts w:ascii="Arial" w:hAnsi="Arial" w:eastAsia="Times New Roman" w:cs="Arial"/>
          <w:sz w:val="24"/>
          <w:szCs w:val="24"/>
          <w:lang w:eastAsia="hr-HR"/>
        </w:rPr>
        <w:t>ništetnosti</w:t>
      </w:r>
      <w:proofErr w:type="spellEnd"/>
      <w:r>
        <w:rPr>
          <w:rFonts w:ascii="Arial" w:hAnsi="Arial" w:eastAsia="Times New Roman" w:cs="Arial"/>
          <w:sz w:val="24"/>
          <w:szCs w:val="24"/>
          <w:lang w:eastAsia="hr-HR"/>
        </w:rPr>
        <w:t xml:space="preserve"> predmetnih ugovora, te osobito iz razloga jer bi u slučaju uspjeha stečajnog dužnika u ovim postupcima, stečajna masa mogla biti obogaćena za tamo utužene iznose.  </w:t>
      </w:r>
    </w:p>
    <w:p w:rsidR="006A6324" w:rsidP="00C65A80" w:rsidRDefault="006A6324">
      <w:pPr>
        <w:spacing w:after="0" w:line="240" w:lineRule="auto"/>
        <w:jc w:val="both"/>
        <w:rPr>
          <w:rFonts w:ascii="Arial" w:hAnsi="Arial" w:eastAsia="Times New Roman" w:cs="Arial"/>
          <w:sz w:val="24"/>
          <w:szCs w:val="24"/>
          <w:lang w:eastAsia="hr-HR"/>
        </w:rPr>
      </w:pPr>
    </w:p>
    <w:p w:rsidR="006A6324" w:rsidP="00C65A80" w:rsidRDefault="006A632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Nazočni punomoćnik vjerovnika SPV za sanaciju d.o.o. Zagreb </w:t>
      </w:r>
      <w:r w:rsidR="0060270A">
        <w:rPr>
          <w:rFonts w:ascii="Arial" w:hAnsi="Arial" w:eastAsia="Times New Roman" w:cs="Arial"/>
          <w:sz w:val="24"/>
          <w:szCs w:val="24"/>
          <w:lang w:eastAsia="hr-HR"/>
        </w:rPr>
        <w:t xml:space="preserve">navodi da u odnosu na naprijed navedeno prepušta donošenje odluke sudu uz napomenu da je vjerovnik SPV za sanaciju d.o.o. Zagreb uredno obavijestio Slavena Cukrova i Alemku Cukrov o otvaranju tečajnog postupka nad dužnikom. </w:t>
      </w:r>
    </w:p>
    <w:p w:rsidR="00B223E6" w:rsidP="00C65A80" w:rsidRDefault="00B223E6">
      <w:pPr>
        <w:spacing w:after="0" w:line="240" w:lineRule="auto"/>
        <w:jc w:val="both"/>
        <w:rPr>
          <w:rFonts w:ascii="Arial" w:hAnsi="Arial" w:eastAsia="Times New Roman" w:cs="Arial"/>
          <w:sz w:val="24"/>
          <w:szCs w:val="24"/>
          <w:lang w:eastAsia="hr-HR"/>
        </w:rPr>
      </w:pPr>
    </w:p>
    <w:p w:rsidR="00B223E6" w:rsidP="00C65A80" w:rsidRDefault="00B223E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Stečajni upravitelj predlaže odgodu današnjeg završnog ročišta zbog potrebe donošenja odluke o naprijed navedenim važnim pitanjima te napominje da će svoj novi prijedlog za održavanje završnog ročišta podnijeti neposredno kada se za isto ispune zakonske pretpostavke. </w:t>
      </w:r>
    </w:p>
    <w:p w:rsidR="00B223E6" w:rsidP="00C65A80" w:rsidRDefault="00B223E6">
      <w:pPr>
        <w:spacing w:after="0" w:line="240" w:lineRule="auto"/>
        <w:jc w:val="both"/>
        <w:rPr>
          <w:rFonts w:ascii="Arial" w:hAnsi="Arial" w:eastAsia="Times New Roman" w:cs="Arial"/>
          <w:sz w:val="24"/>
          <w:szCs w:val="24"/>
          <w:lang w:eastAsia="hr-HR"/>
        </w:rPr>
      </w:pPr>
    </w:p>
    <w:p w:rsidR="00B223E6" w:rsidP="00C65A80" w:rsidRDefault="00B223E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Slijedom svega navedenog, a sukladno odredbi čl. 108. Stečajnog zakona, sud donosi </w:t>
      </w:r>
    </w:p>
    <w:p w:rsidR="00B223E6" w:rsidP="00C65A80" w:rsidRDefault="00B223E6">
      <w:pPr>
        <w:spacing w:after="0" w:line="240" w:lineRule="auto"/>
        <w:jc w:val="both"/>
        <w:rPr>
          <w:rFonts w:ascii="Arial" w:hAnsi="Arial" w:eastAsia="Times New Roman" w:cs="Arial"/>
          <w:sz w:val="24"/>
          <w:szCs w:val="24"/>
          <w:lang w:eastAsia="hr-HR"/>
        </w:rPr>
      </w:pPr>
    </w:p>
    <w:p w:rsidR="00B223E6" w:rsidP="00B223E6" w:rsidRDefault="00B223E6">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r j e š e nj e </w:t>
      </w:r>
    </w:p>
    <w:p w:rsidR="00B223E6" w:rsidP="00B223E6" w:rsidRDefault="00B223E6">
      <w:pPr>
        <w:spacing w:after="0" w:line="240" w:lineRule="auto"/>
        <w:jc w:val="center"/>
        <w:rPr>
          <w:rFonts w:ascii="Arial" w:hAnsi="Arial" w:eastAsia="Times New Roman" w:cs="Arial"/>
          <w:sz w:val="24"/>
          <w:szCs w:val="24"/>
          <w:lang w:eastAsia="hr-HR"/>
        </w:rPr>
      </w:pPr>
    </w:p>
    <w:p w:rsidRPr="00B223E6" w:rsidR="00B223E6" w:rsidP="00B223E6" w:rsidRDefault="00B223E6">
      <w:pPr>
        <w:spacing w:after="0" w:line="240" w:lineRule="auto"/>
        <w:jc w:val="both"/>
        <w:rPr>
          <w:rFonts w:ascii="Arial" w:hAnsi="Arial" w:eastAsia="Times New Roman" w:cs="Arial"/>
          <w:sz w:val="24"/>
          <w:szCs w:val="24"/>
        </w:rPr>
      </w:pPr>
    </w:p>
    <w:p w:rsidR="00B223E6" w:rsidP="00B223E6" w:rsidRDefault="00B223E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i/>
          <w:sz w:val="24"/>
          <w:szCs w:val="24"/>
          <w:lang w:eastAsia="hr-HR"/>
        </w:rPr>
        <w:t xml:space="preserve">. </w:t>
      </w:r>
      <w:r>
        <w:rPr>
          <w:rFonts w:ascii="Arial" w:hAnsi="Arial" w:eastAsia="Times New Roman" w:cs="Arial"/>
          <w:sz w:val="24"/>
          <w:szCs w:val="24"/>
          <w:lang w:eastAsia="hr-HR"/>
        </w:rPr>
        <w:t>Ukida se odluka skupštine vjerovnika s ročišta od 30. studenog 2021. koja glasi:</w:t>
      </w:r>
    </w:p>
    <w:p w:rsidR="00B223E6" w:rsidP="00B223E6" w:rsidRDefault="00B223E6">
      <w:pPr>
        <w:spacing w:after="0" w:line="240" w:lineRule="auto"/>
        <w:jc w:val="both"/>
        <w:rPr>
          <w:rFonts w:ascii="Arial" w:hAnsi="Arial" w:eastAsia="Times New Roman" w:cs="Arial"/>
          <w:sz w:val="24"/>
          <w:szCs w:val="24"/>
          <w:lang w:eastAsia="hr-HR"/>
        </w:rPr>
      </w:pPr>
    </w:p>
    <w:p w:rsidRPr="00B223E6" w:rsidR="00B223E6" w:rsidP="00B223E6" w:rsidRDefault="00B223E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Pr="00B223E6">
        <w:rPr>
          <w:rFonts w:ascii="Arial" w:hAnsi="Arial" w:eastAsia="Times New Roman" w:cs="Arial"/>
          <w:sz w:val="24"/>
          <w:szCs w:val="24"/>
          <w:lang w:eastAsia="hr-HR"/>
        </w:rPr>
        <w:t xml:space="preserve">1. </w:t>
      </w:r>
      <w:r w:rsidRPr="00B223E6">
        <w:rPr>
          <w:rFonts w:ascii="Arial" w:hAnsi="Arial" w:eastAsia="Times New Roman" w:cs="Arial"/>
          <w:sz w:val="24"/>
          <w:szCs w:val="24"/>
          <w:lang w:eastAsia="hr-HR"/>
        </w:rPr>
        <w:tab/>
        <w:t>Ovlašćuje se stečajni upravitelj da preuzme parnične postupke koji su prekinuti otvaranjem stečajnog postupka nad dužnikom, te da nakon preuzimanja i nastavka postupka odustane od tužbe/povuče tužbu, odnosno prijedlog za osiguranje u slijedećim parničnim odnosno izvanparničnim postupcima:</w:t>
      </w:r>
    </w:p>
    <w:p w:rsidRPr="00B223E6" w:rsidR="00B223E6" w:rsidP="00B223E6" w:rsidRDefault="00B223E6">
      <w:pPr>
        <w:spacing w:after="0" w:line="240" w:lineRule="auto"/>
        <w:ind w:left="720"/>
        <w:contextualSpacing/>
        <w:jc w:val="both"/>
        <w:rPr>
          <w:rFonts w:ascii="Arial" w:hAnsi="Arial" w:eastAsia="Times New Roman" w:cs="Arial"/>
          <w:sz w:val="24"/>
          <w:szCs w:val="24"/>
          <w:lang w:eastAsia="hr-HR"/>
        </w:rPr>
      </w:pPr>
    </w:p>
    <w:p w:rsidRPr="00B223E6" w:rsidR="00B223E6" w:rsidP="00B223E6" w:rsidRDefault="00B223E6">
      <w:pPr>
        <w:numPr>
          <w:ilvl w:val="0"/>
          <w:numId w:val="7"/>
        </w:numPr>
        <w:spacing w:after="0" w:line="240" w:lineRule="auto"/>
        <w:jc w:val="both"/>
        <w:rPr>
          <w:rFonts w:ascii="Arial" w:hAnsi="Arial" w:eastAsia="Times New Roman" w:cs="Arial"/>
          <w:sz w:val="24"/>
          <w:szCs w:val="24"/>
          <w:lang w:eastAsia="hr-HR"/>
        </w:rPr>
      </w:pPr>
      <w:r w:rsidRPr="00B223E6">
        <w:rPr>
          <w:rFonts w:ascii="Arial" w:hAnsi="Arial" w:eastAsia="Times New Roman" w:cs="Arial"/>
          <w:sz w:val="24"/>
          <w:szCs w:val="24"/>
          <w:lang w:eastAsia="hr-HR"/>
        </w:rPr>
        <w:t>P-183/2015</w:t>
      </w:r>
    </w:p>
    <w:p w:rsidRPr="00B223E6" w:rsidR="00B223E6" w:rsidP="00B223E6" w:rsidRDefault="00B223E6">
      <w:pPr>
        <w:numPr>
          <w:ilvl w:val="0"/>
          <w:numId w:val="7"/>
        </w:numPr>
        <w:spacing w:after="0" w:line="240" w:lineRule="auto"/>
        <w:jc w:val="both"/>
        <w:rPr>
          <w:rFonts w:ascii="Arial" w:hAnsi="Arial" w:eastAsia="Times New Roman" w:cs="Arial"/>
          <w:sz w:val="24"/>
          <w:szCs w:val="24"/>
          <w:lang w:eastAsia="hr-HR"/>
        </w:rPr>
      </w:pPr>
      <w:r w:rsidRPr="00B223E6">
        <w:rPr>
          <w:rFonts w:ascii="Arial" w:hAnsi="Arial" w:eastAsia="Times New Roman" w:cs="Arial"/>
          <w:sz w:val="24"/>
          <w:szCs w:val="24"/>
          <w:lang w:eastAsia="hr-HR"/>
        </w:rPr>
        <w:t>P-115/2016</w:t>
      </w:r>
    </w:p>
    <w:p w:rsidRPr="00B223E6" w:rsidR="00B223E6" w:rsidP="00B223E6" w:rsidRDefault="00B223E6">
      <w:pPr>
        <w:numPr>
          <w:ilvl w:val="0"/>
          <w:numId w:val="7"/>
        </w:numPr>
        <w:spacing w:after="0" w:line="240" w:lineRule="auto"/>
        <w:jc w:val="both"/>
        <w:rPr>
          <w:rFonts w:ascii="Arial" w:hAnsi="Arial" w:eastAsia="Times New Roman" w:cs="Arial"/>
          <w:sz w:val="24"/>
          <w:szCs w:val="24"/>
          <w:lang w:eastAsia="hr-HR"/>
        </w:rPr>
      </w:pPr>
      <w:proofErr w:type="spellStart"/>
      <w:r w:rsidRPr="00B223E6">
        <w:rPr>
          <w:rFonts w:ascii="Arial" w:hAnsi="Arial" w:eastAsia="Times New Roman" w:cs="Arial"/>
          <w:sz w:val="24"/>
          <w:szCs w:val="24"/>
          <w:lang w:eastAsia="hr-HR"/>
        </w:rPr>
        <w:t>Povrv</w:t>
      </w:r>
      <w:proofErr w:type="spellEnd"/>
      <w:r w:rsidRPr="00B223E6">
        <w:rPr>
          <w:rFonts w:ascii="Arial" w:hAnsi="Arial" w:eastAsia="Times New Roman" w:cs="Arial"/>
          <w:sz w:val="24"/>
          <w:szCs w:val="24"/>
          <w:lang w:eastAsia="hr-HR"/>
        </w:rPr>
        <w:t>-535/2015</w:t>
      </w:r>
      <w:r>
        <w:rPr>
          <w:rFonts w:ascii="Arial" w:hAnsi="Arial" w:eastAsia="Times New Roman" w:cs="Arial"/>
          <w:sz w:val="24"/>
          <w:szCs w:val="24"/>
          <w:lang w:eastAsia="hr-HR"/>
        </w:rPr>
        <w:t xml:space="preserve"> i</w:t>
      </w:r>
    </w:p>
    <w:p w:rsidR="00B223E6" w:rsidP="00B223E6" w:rsidRDefault="00B223E6">
      <w:pPr>
        <w:numPr>
          <w:ilvl w:val="0"/>
          <w:numId w:val="7"/>
        </w:numPr>
        <w:spacing w:after="0" w:line="240" w:lineRule="auto"/>
        <w:jc w:val="both"/>
        <w:rPr>
          <w:rFonts w:ascii="Arial" w:hAnsi="Arial" w:eastAsia="Times New Roman" w:cs="Arial"/>
          <w:sz w:val="24"/>
          <w:szCs w:val="24"/>
          <w:lang w:eastAsia="hr-HR"/>
        </w:rPr>
      </w:pPr>
      <w:r w:rsidRPr="00B223E6">
        <w:rPr>
          <w:rFonts w:ascii="Arial" w:hAnsi="Arial" w:eastAsia="Times New Roman" w:cs="Arial"/>
          <w:sz w:val="24"/>
          <w:szCs w:val="24"/>
          <w:lang w:eastAsia="hr-HR"/>
        </w:rPr>
        <w:t>R1-38/2016</w:t>
      </w:r>
      <w:r>
        <w:rPr>
          <w:rFonts w:ascii="Arial" w:hAnsi="Arial" w:eastAsia="Times New Roman" w:cs="Arial"/>
          <w:sz w:val="24"/>
          <w:szCs w:val="24"/>
          <w:lang w:eastAsia="hr-HR"/>
        </w:rPr>
        <w:t>.</w:t>
      </w:r>
    </w:p>
    <w:p w:rsidR="00B223E6" w:rsidP="00B223E6" w:rsidRDefault="00B223E6">
      <w:pPr>
        <w:spacing w:after="0" w:line="240" w:lineRule="auto"/>
        <w:jc w:val="both"/>
        <w:rPr>
          <w:rFonts w:ascii="Arial" w:hAnsi="Arial" w:eastAsia="Times New Roman" w:cs="Arial"/>
          <w:sz w:val="24"/>
          <w:szCs w:val="24"/>
          <w:lang w:eastAsia="hr-HR"/>
        </w:rPr>
      </w:pPr>
    </w:p>
    <w:p w:rsidR="00B223E6" w:rsidP="00B223E6" w:rsidRDefault="00B223E6">
      <w:pPr>
        <w:spacing w:after="0" w:line="240" w:lineRule="auto"/>
        <w:ind w:firstLine="36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II. Prednja sudska odluka u pisanom </w:t>
      </w:r>
      <w:proofErr w:type="spellStart"/>
      <w:r>
        <w:rPr>
          <w:rFonts w:ascii="Arial" w:hAnsi="Arial" w:eastAsia="Times New Roman" w:cs="Arial"/>
          <w:sz w:val="24"/>
          <w:szCs w:val="24"/>
          <w:lang w:eastAsia="hr-HR"/>
        </w:rPr>
        <w:t>otpravku</w:t>
      </w:r>
      <w:proofErr w:type="spellEnd"/>
      <w:r>
        <w:rPr>
          <w:rFonts w:ascii="Arial" w:hAnsi="Arial" w:eastAsia="Times New Roman" w:cs="Arial"/>
          <w:sz w:val="24"/>
          <w:szCs w:val="24"/>
          <w:lang w:eastAsia="hr-HR"/>
        </w:rPr>
        <w:t xml:space="preserve"> će se objaviti na mrežnoj stranici e-Oglasna ploča sudova te protiv te odluke pravo na posebnu žalbu ima svaki </w:t>
      </w:r>
      <w:proofErr w:type="spellStart"/>
      <w:r>
        <w:rPr>
          <w:rFonts w:ascii="Arial" w:hAnsi="Arial" w:eastAsia="Times New Roman" w:cs="Arial"/>
          <w:sz w:val="24"/>
          <w:szCs w:val="24"/>
          <w:lang w:eastAsia="hr-HR"/>
        </w:rPr>
        <w:t>razlučni</w:t>
      </w:r>
      <w:proofErr w:type="spellEnd"/>
      <w:r>
        <w:rPr>
          <w:rFonts w:ascii="Arial" w:hAnsi="Arial" w:eastAsia="Times New Roman" w:cs="Arial"/>
          <w:sz w:val="24"/>
          <w:szCs w:val="24"/>
          <w:lang w:eastAsia="hr-HR"/>
        </w:rPr>
        <w:t xml:space="preserve"> vjerovnik i svaki stečajni vjerovnik koji nije nižega isplatnog reda. </w:t>
      </w:r>
    </w:p>
    <w:p w:rsidR="00B223E6" w:rsidP="00B223E6" w:rsidRDefault="00B223E6">
      <w:pPr>
        <w:spacing w:after="0" w:line="240" w:lineRule="auto"/>
        <w:ind w:left="720"/>
        <w:jc w:val="both"/>
        <w:rPr>
          <w:rFonts w:ascii="Arial" w:hAnsi="Arial" w:eastAsia="Times New Roman" w:cs="Arial"/>
          <w:sz w:val="24"/>
          <w:szCs w:val="24"/>
          <w:lang w:eastAsia="hr-HR"/>
        </w:rPr>
      </w:pPr>
    </w:p>
    <w:p w:rsidRPr="00B223E6" w:rsidR="00B223E6" w:rsidP="00B223E6" w:rsidRDefault="00B223E6">
      <w:pPr>
        <w:spacing w:after="0" w:line="240" w:lineRule="auto"/>
        <w:ind w:firstLine="36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III. Današnje završno ročište se odgađa te će se slijedeće zakazati nakon što prednje sudske odluke postanu pravomoćne, a u kojem pravcu će skupština </w:t>
      </w:r>
      <w:r>
        <w:rPr>
          <w:rFonts w:ascii="Arial" w:hAnsi="Arial" w:eastAsia="Times New Roman" w:cs="Arial"/>
          <w:sz w:val="24"/>
          <w:szCs w:val="24"/>
          <w:lang w:eastAsia="hr-HR"/>
        </w:rPr>
        <w:lastRenderedPageBreak/>
        <w:t xml:space="preserve">vjerovnika odlučiti o tome tko će zastupati stečajnog dužnika u naprijed navedenim postupcima. </w:t>
      </w:r>
    </w:p>
    <w:p w:rsidRPr="00B223E6" w:rsidR="00B223E6" w:rsidP="00B223E6" w:rsidRDefault="00B223E6">
      <w:pPr>
        <w:spacing w:after="0" w:line="240" w:lineRule="auto"/>
        <w:jc w:val="both"/>
        <w:rPr>
          <w:rFonts w:ascii="Arial" w:hAnsi="Arial" w:eastAsia="Times New Roman" w:cs="Arial"/>
          <w:sz w:val="24"/>
          <w:szCs w:val="24"/>
          <w:lang w:eastAsia="hr-HR"/>
        </w:rPr>
      </w:pPr>
    </w:p>
    <w:p w:rsidRPr="001528AA" w:rsidR="00A86E55" w:rsidP="00A86E55" w:rsidRDefault="00A86E55">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 xml:space="preserve">Dovršeno u </w:t>
      </w:r>
      <w:r w:rsidR="006E2551">
        <w:rPr>
          <w:rFonts w:ascii="Arial" w:hAnsi="Arial" w:eastAsia="Times New Roman" w:cs="Arial"/>
          <w:bCs/>
          <w:sz w:val="24"/>
          <w:szCs w:val="24"/>
          <w:lang w:eastAsia="hr-HR"/>
        </w:rPr>
        <w:t>10</w:t>
      </w:r>
      <w:r w:rsidRPr="001528AA" w:rsidR="007F3E8C">
        <w:rPr>
          <w:rFonts w:ascii="Arial" w:hAnsi="Arial" w:eastAsia="Times New Roman" w:cs="Arial"/>
          <w:bCs/>
          <w:sz w:val="24"/>
          <w:szCs w:val="24"/>
          <w:lang w:eastAsia="hr-HR"/>
        </w:rPr>
        <w:t>:</w:t>
      </w:r>
      <w:r w:rsidR="006E2551">
        <w:rPr>
          <w:rFonts w:ascii="Arial" w:hAnsi="Arial" w:eastAsia="Times New Roman" w:cs="Arial"/>
          <w:bCs/>
          <w:sz w:val="24"/>
          <w:szCs w:val="24"/>
          <w:lang w:eastAsia="hr-HR"/>
        </w:rPr>
        <w:t>1</w:t>
      </w:r>
      <w:r w:rsidR="00F8679F">
        <w:rPr>
          <w:rFonts w:ascii="Arial" w:hAnsi="Arial" w:eastAsia="Times New Roman" w:cs="Arial"/>
          <w:bCs/>
          <w:sz w:val="24"/>
          <w:szCs w:val="24"/>
          <w:lang w:eastAsia="hr-HR"/>
        </w:rPr>
        <w:t>5</w:t>
      </w:r>
      <w:bookmarkStart w:name="_GoBack" w:id="0"/>
      <w:bookmarkEnd w:id="0"/>
      <w:r w:rsidRPr="001528AA" w:rsidR="007F3E8C">
        <w:rPr>
          <w:rFonts w:ascii="Arial" w:hAnsi="Arial" w:eastAsia="Times New Roman" w:cs="Arial"/>
          <w:bCs/>
          <w:sz w:val="24"/>
          <w:szCs w:val="24"/>
          <w:lang w:eastAsia="hr-HR"/>
        </w:rPr>
        <w:t xml:space="preserve"> sati </w:t>
      </w:r>
    </w:p>
    <w:p w:rsidRPr="001528AA" w:rsidR="00A86E55" w:rsidP="00A86E55" w:rsidRDefault="00A86E55">
      <w:pPr>
        <w:spacing w:after="0" w:line="240" w:lineRule="auto"/>
        <w:rPr>
          <w:rFonts w:ascii="Arial" w:hAnsi="Arial" w:eastAsia="Times New Roman" w:cs="Arial"/>
          <w:bCs/>
          <w:sz w:val="24"/>
          <w:szCs w:val="24"/>
          <w:lang w:eastAsia="hr-HR"/>
        </w:rPr>
      </w:pPr>
    </w:p>
    <w:p w:rsidRPr="001528AA" w:rsidR="000A5046" w:rsidP="00A86E55" w:rsidRDefault="000A5046">
      <w:pPr>
        <w:spacing w:after="0" w:line="240" w:lineRule="auto"/>
        <w:rPr>
          <w:rFonts w:ascii="Arial" w:hAnsi="Arial" w:eastAsia="Times New Roman" w:cs="Arial"/>
          <w:bCs/>
          <w:sz w:val="24"/>
          <w:szCs w:val="24"/>
          <w:lang w:eastAsia="hr-HR"/>
        </w:rPr>
      </w:pPr>
    </w:p>
    <w:p w:rsidRPr="001528AA" w:rsidR="00A86E55" w:rsidP="00A86E55" w:rsidRDefault="00A86E55">
      <w:pPr>
        <w:spacing w:after="0" w:line="240" w:lineRule="auto"/>
        <w:rPr>
          <w:rFonts w:ascii="Arial" w:hAnsi="Arial" w:eastAsia="Times New Roman" w:cs="Arial"/>
          <w:bCs/>
          <w:sz w:val="24"/>
          <w:szCs w:val="24"/>
          <w:lang w:eastAsia="hr-HR"/>
        </w:rPr>
      </w:pPr>
      <w:r w:rsidRPr="001528AA">
        <w:rPr>
          <w:rFonts w:ascii="Arial" w:hAnsi="Arial" w:eastAsia="Times New Roman" w:cs="Arial"/>
          <w:bCs/>
          <w:sz w:val="24"/>
          <w:szCs w:val="24"/>
          <w:lang w:eastAsia="hr-HR"/>
        </w:rPr>
        <w:t>SU</w:t>
      </w:r>
      <w:r w:rsidRPr="001528AA" w:rsidR="006A20E6">
        <w:rPr>
          <w:rFonts w:ascii="Arial" w:hAnsi="Arial" w:eastAsia="Times New Roman" w:cs="Arial"/>
          <w:bCs/>
          <w:sz w:val="24"/>
          <w:szCs w:val="24"/>
          <w:lang w:eastAsia="hr-HR"/>
        </w:rPr>
        <w:t>TKINJA</w:t>
      </w:r>
      <w:r w:rsidRPr="001528AA" w:rsidR="00CD11B8">
        <w:rPr>
          <w:rFonts w:ascii="Arial" w:hAnsi="Arial" w:eastAsia="Times New Roman" w:cs="Arial"/>
          <w:bCs/>
          <w:sz w:val="24"/>
          <w:szCs w:val="24"/>
          <w:lang w:eastAsia="hr-HR"/>
        </w:rPr>
        <w:t>:</w:t>
      </w:r>
      <w:r w:rsidRPr="001528AA">
        <w:rPr>
          <w:rFonts w:ascii="Arial" w:hAnsi="Arial" w:eastAsia="Times New Roman" w:cs="Arial"/>
          <w:bCs/>
          <w:sz w:val="24"/>
          <w:szCs w:val="24"/>
          <w:lang w:eastAsia="hr-HR"/>
        </w:rPr>
        <w:t xml:space="preserve">                      </w:t>
      </w:r>
      <w:r w:rsidRPr="001528AA" w:rsidR="004842C7">
        <w:rPr>
          <w:rFonts w:ascii="Arial" w:hAnsi="Arial" w:eastAsia="Times New Roman" w:cs="Arial"/>
          <w:bCs/>
          <w:sz w:val="24"/>
          <w:szCs w:val="24"/>
          <w:lang w:eastAsia="hr-HR"/>
        </w:rPr>
        <w:t xml:space="preserve">ZAPISNIČARKA:                </w:t>
      </w:r>
      <w:r w:rsidRPr="001528AA">
        <w:rPr>
          <w:rFonts w:ascii="Arial" w:hAnsi="Arial" w:eastAsia="Times New Roman" w:cs="Arial"/>
          <w:bCs/>
          <w:sz w:val="24"/>
          <w:szCs w:val="24"/>
          <w:lang w:eastAsia="hr-HR"/>
        </w:rPr>
        <w:t>STEČAJN</w:t>
      </w:r>
      <w:r w:rsidR="00B223E6">
        <w:rPr>
          <w:rFonts w:ascii="Arial" w:hAnsi="Arial" w:eastAsia="Times New Roman" w:cs="Arial"/>
          <w:bCs/>
          <w:sz w:val="24"/>
          <w:szCs w:val="24"/>
          <w:lang w:eastAsia="hr-HR"/>
        </w:rPr>
        <w:t>I</w:t>
      </w:r>
      <w:r w:rsidRPr="001528AA">
        <w:rPr>
          <w:rFonts w:ascii="Arial" w:hAnsi="Arial" w:eastAsia="Times New Roman" w:cs="Arial"/>
          <w:bCs/>
          <w:sz w:val="24"/>
          <w:szCs w:val="24"/>
          <w:lang w:eastAsia="hr-HR"/>
        </w:rPr>
        <w:t xml:space="preserve"> UPRAVITELJ</w:t>
      </w:r>
      <w:r w:rsidRPr="001528AA" w:rsidR="00CD11B8">
        <w:rPr>
          <w:rFonts w:ascii="Arial" w:hAnsi="Arial" w:eastAsia="Times New Roman" w:cs="Arial"/>
          <w:bCs/>
          <w:sz w:val="24"/>
          <w:szCs w:val="24"/>
          <w:lang w:eastAsia="hr-HR"/>
        </w:rPr>
        <w:t>:</w:t>
      </w:r>
    </w:p>
    <w:p w:rsidR="00A86E55" w:rsidP="00A86E55" w:rsidRDefault="00A86E55">
      <w:pPr>
        <w:spacing w:after="0" w:line="240" w:lineRule="auto"/>
        <w:rPr>
          <w:rFonts w:ascii="Arial" w:hAnsi="Arial" w:eastAsia="Times New Roman" w:cs="Arial"/>
          <w:bCs/>
          <w:sz w:val="24"/>
          <w:szCs w:val="24"/>
          <w:lang w:eastAsia="hr-HR"/>
        </w:rPr>
      </w:pPr>
    </w:p>
    <w:p w:rsidR="00B223E6" w:rsidP="00A86E55" w:rsidRDefault="00B223E6">
      <w:pPr>
        <w:spacing w:after="0" w:line="240" w:lineRule="auto"/>
        <w:rPr>
          <w:rFonts w:ascii="Arial" w:hAnsi="Arial" w:eastAsia="Times New Roman" w:cs="Arial"/>
          <w:bCs/>
          <w:sz w:val="24"/>
          <w:szCs w:val="24"/>
          <w:lang w:eastAsia="hr-HR"/>
        </w:rPr>
      </w:pPr>
    </w:p>
    <w:p w:rsidR="00B223E6" w:rsidP="00A86E55" w:rsidRDefault="00B223E6">
      <w:pPr>
        <w:spacing w:after="0" w:line="240" w:lineRule="auto"/>
        <w:rPr>
          <w:rFonts w:ascii="Arial" w:hAnsi="Arial" w:eastAsia="Times New Roman" w:cs="Arial"/>
          <w:bCs/>
          <w:sz w:val="24"/>
          <w:szCs w:val="24"/>
          <w:lang w:eastAsia="hr-HR"/>
        </w:rPr>
      </w:pPr>
    </w:p>
    <w:p w:rsidR="00B223E6" w:rsidP="00A86E55" w:rsidRDefault="00B223E6">
      <w:pPr>
        <w:spacing w:after="0" w:line="240" w:lineRule="auto"/>
        <w:rPr>
          <w:rFonts w:ascii="Arial" w:hAnsi="Arial" w:eastAsia="Times New Roman" w:cs="Arial"/>
          <w:bCs/>
          <w:sz w:val="24"/>
          <w:szCs w:val="24"/>
          <w:lang w:eastAsia="hr-HR"/>
        </w:rPr>
      </w:pPr>
    </w:p>
    <w:p w:rsidR="00B223E6" w:rsidP="00A86E55" w:rsidRDefault="00B223E6">
      <w:pPr>
        <w:spacing w:after="0" w:line="240" w:lineRule="auto"/>
        <w:rPr>
          <w:rFonts w:ascii="Arial" w:hAnsi="Arial" w:eastAsia="Times New Roman" w:cs="Arial"/>
          <w:bCs/>
          <w:sz w:val="24"/>
          <w:szCs w:val="24"/>
          <w:lang w:eastAsia="hr-HR"/>
        </w:rPr>
      </w:pPr>
    </w:p>
    <w:p w:rsidRPr="001528AA" w:rsidR="00B223E6" w:rsidP="00A86E55" w:rsidRDefault="00B223E6">
      <w:pPr>
        <w:spacing w:after="0" w:line="240" w:lineRule="auto"/>
        <w:rPr>
          <w:rFonts w:ascii="Arial" w:hAnsi="Arial" w:eastAsia="Times New Roman" w:cs="Arial"/>
          <w:bCs/>
          <w:sz w:val="24"/>
          <w:szCs w:val="24"/>
          <w:lang w:eastAsia="hr-HR"/>
        </w:rPr>
      </w:pPr>
      <w:r>
        <w:rPr>
          <w:rFonts w:ascii="Arial" w:hAnsi="Arial" w:eastAsia="Times New Roman" w:cs="Arial"/>
          <w:bCs/>
          <w:sz w:val="24"/>
          <w:szCs w:val="24"/>
          <w:lang w:eastAsia="hr-HR"/>
        </w:rPr>
        <w:t xml:space="preserve">VJEROVNICI: </w:t>
      </w:r>
    </w:p>
    <w:p w:rsidRPr="001528AA" w:rsidR="00A86E55" w:rsidP="00A86E55" w:rsidRDefault="00A86E55">
      <w:pPr>
        <w:spacing w:after="0" w:line="240" w:lineRule="auto"/>
        <w:rPr>
          <w:rFonts w:ascii="Arial" w:hAnsi="Arial" w:eastAsia="Times New Roman" w:cs="Arial"/>
          <w:bCs/>
          <w:sz w:val="24"/>
          <w:szCs w:val="24"/>
          <w:lang w:eastAsia="hr-HR"/>
        </w:rPr>
      </w:pPr>
    </w:p>
    <w:p w:rsidRPr="001528AA" w:rsidR="00A86E55" w:rsidP="00A86E55" w:rsidRDefault="00A86E55">
      <w:pPr>
        <w:spacing w:after="0" w:line="240" w:lineRule="auto"/>
        <w:rPr>
          <w:rFonts w:ascii="Arial" w:hAnsi="Arial" w:eastAsia="Times New Roman" w:cs="Arial"/>
          <w:bCs/>
          <w:sz w:val="24"/>
          <w:szCs w:val="24"/>
          <w:lang w:eastAsia="hr-HR"/>
        </w:rPr>
      </w:pPr>
    </w:p>
    <w:sectPr w:rsidRPr="001528AA" w:rsidR="00A86E55" w:rsidSect="00733D2E">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3D2E" w:rsidP="00733D2E" w:rsidRDefault="00733D2E">
      <w:pPr>
        <w:spacing w:after="0" w:line="240" w:lineRule="auto"/>
      </w:pPr>
      <w:r>
        <w:separator/>
      </w:r>
    </w:p>
  </w:endnote>
  <w:endnote w:type="continuationSeparator" w:id="0">
    <w:p w:rsidR="00733D2E" w:rsidP="00733D2E" w:rsidRDefault="00733D2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3D2E" w:rsidP="00733D2E" w:rsidRDefault="00733D2E">
      <w:pPr>
        <w:spacing w:after="0" w:line="240" w:lineRule="auto"/>
      </w:pPr>
      <w:r>
        <w:separator/>
      </w:r>
    </w:p>
  </w:footnote>
  <w:footnote w:type="continuationSeparator" w:id="0">
    <w:p w:rsidR="00733D2E" w:rsidP="00733D2E" w:rsidRDefault="00733D2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842C7" w:rsidR="00854707" w:rsidP="00FE0C6C" w:rsidRDefault="00F8679F">
    <w:pPr>
      <w:pStyle w:val="Zaglavlje"/>
      <w:tabs>
        <w:tab w:val="left" w:pos="6960"/>
      </w:tabs>
      <w:jc w:val="center"/>
      <w:rPr>
        <w:rFonts w:ascii="Arial" w:hAnsi="Arial" w:cs="Arial"/>
      </w:rPr>
    </w:pPr>
    <w:sdt>
      <w:sdtPr>
        <w:rPr>
          <w:rFonts w:ascii="Arial" w:hAnsi="Arial" w:cs="Arial"/>
          <w:sz w:val="24"/>
          <w:szCs w:val="24"/>
        </w:rPr>
        <w:id w:val="1397087612"/>
        <w:docPartObj>
          <w:docPartGallery w:val="Page Numbers (Top of Page)"/>
          <w:docPartUnique/>
        </w:docPartObj>
      </w:sdtPr>
      <w:sdtEndPr/>
      <w:sdtContent>
        <w:r w:rsidRPr="004842C7" w:rsidR="00854707">
          <w:rPr>
            <w:rFonts w:ascii="Arial" w:hAnsi="Arial" w:cs="Arial"/>
            <w:sz w:val="24"/>
            <w:szCs w:val="24"/>
          </w:rPr>
          <w:t xml:space="preserve">                                                          </w:t>
        </w:r>
        <w:r w:rsidRPr="004842C7" w:rsidR="00FE0C6C">
          <w:rPr>
            <w:rFonts w:ascii="Arial" w:hAnsi="Arial" w:cs="Arial"/>
            <w:sz w:val="24"/>
            <w:szCs w:val="24"/>
          </w:rPr>
          <w:t xml:space="preserve">             </w:t>
        </w:r>
        <w:r w:rsidRPr="004842C7" w:rsidR="00854707">
          <w:rPr>
            <w:rFonts w:ascii="Arial" w:hAnsi="Arial" w:cs="Arial"/>
            <w:sz w:val="24"/>
            <w:szCs w:val="24"/>
          </w:rPr>
          <w:t xml:space="preserve">  </w:t>
        </w:r>
        <w:r w:rsidRPr="004842C7" w:rsidR="00854707">
          <w:rPr>
            <w:rFonts w:ascii="Arial" w:hAnsi="Arial" w:cs="Arial"/>
            <w:sz w:val="24"/>
            <w:szCs w:val="24"/>
          </w:rPr>
          <w:fldChar w:fldCharType="begin"/>
        </w:r>
        <w:r w:rsidRPr="004842C7" w:rsidR="00854707">
          <w:rPr>
            <w:rFonts w:ascii="Arial" w:hAnsi="Arial" w:cs="Arial"/>
            <w:sz w:val="24"/>
            <w:szCs w:val="24"/>
          </w:rPr>
          <w:instrText>PAGE   \* MERGEFORMAT</w:instrText>
        </w:r>
        <w:r w:rsidRPr="004842C7" w:rsidR="00854707">
          <w:rPr>
            <w:rFonts w:ascii="Arial" w:hAnsi="Arial" w:cs="Arial"/>
            <w:sz w:val="24"/>
            <w:szCs w:val="24"/>
          </w:rPr>
          <w:fldChar w:fldCharType="separate"/>
        </w:r>
        <w:r>
          <w:rPr>
            <w:rFonts w:ascii="Arial" w:hAnsi="Arial" w:cs="Arial"/>
            <w:noProof/>
            <w:sz w:val="24"/>
            <w:szCs w:val="24"/>
          </w:rPr>
          <w:t>5</w:t>
        </w:r>
        <w:r w:rsidRPr="004842C7" w:rsidR="00854707">
          <w:rPr>
            <w:rFonts w:ascii="Arial" w:hAnsi="Arial" w:cs="Arial"/>
            <w:sz w:val="24"/>
            <w:szCs w:val="24"/>
          </w:rPr>
          <w:fldChar w:fldCharType="end"/>
        </w:r>
      </w:sdtContent>
    </w:sdt>
    <w:r w:rsidRPr="004842C7" w:rsidR="00854707">
      <w:rPr>
        <w:rFonts w:ascii="Arial" w:hAnsi="Arial" w:cs="Arial"/>
      </w:rPr>
      <w:t xml:space="preserve">          </w:t>
    </w:r>
    <w:r w:rsidRPr="004842C7" w:rsidR="00854707">
      <w:rPr>
        <w:rFonts w:ascii="Arial" w:hAnsi="Arial" w:eastAsia="Times New Roman" w:cs="Arial"/>
        <w:bCs/>
        <w:sz w:val="24"/>
        <w:szCs w:val="24"/>
        <w:lang w:eastAsia="hr-HR"/>
      </w:rPr>
      <w:t>Poslovni br. 3. St-</w:t>
    </w:r>
    <w:r w:rsidR="00C3541D">
      <w:rPr>
        <w:rFonts w:ascii="Arial" w:hAnsi="Arial" w:eastAsia="Times New Roman" w:cs="Arial"/>
        <w:bCs/>
        <w:sz w:val="24"/>
        <w:szCs w:val="24"/>
        <w:lang w:eastAsia="hr-HR"/>
      </w:rPr>
      <w:t>947</w:t>
    </w:r>
    <w:r w:rsidRPr="004842C7" w:rsidR="00C31325">
      <w:rPr>
        <w:rFonts w:ascii="Arial" w:hAnsi="Arial" w:eastAsia="Times New Roman" w:cs="Arial"/>
        <w:bCs/>
        <w:sz w:val="24"/>
        <w:szCs w:val="24"/>
        <w:lang w:eastAsia="hr-HR"/>
      </w:rPr>
      <w:t>/201</w:t>
    </w:r>
    <w:r w:rsidR="00C3541D">
      <w:rPr>
        <w:rFonts w:ascii="Arial" w:hAnsi="Arial" w:eastAsia="Times New Roman" w:cs="Arial"/>
        <w:bCs/>
        <w:sz w:val="24"/>
        <w:szCs w:val="24"/>
        <w:lang w:eastAsia="hr-HR"/>
      </w:rPr>
      <w:t>6</w:t>
    </w:r>
    <w:r w:rsidRPr="004842C7" w:rsidR="00C31325">
      <w:rPr>
        <w:rFonts w:ascii="Arial" w:hAnsi="Arial" w:eastAsia="Times New Roman" w:cs="Arial"/>
        <w:bCs/>
        <w:sz w:val="24"/>
        <w:szCs w:val="24"/>
        <w:lang w:eastAsia="hr-HR"/>
      </w:rPr>
      <w:t>-</w:t>
    </w:r>
    <w:r w:rsidR="00C3541D">
      <w:rPr>
        <w:rFonts w:ascii="Arial" w:hAnsi="Arial" w:eastAsia="Times New Roman" w:cs="Arial"/>
        <w:bCs/>
        <w:sz w:val="24"/>
        <w:szCs w:val="24"/>
        <w:lang w:eastAsia="hr-HR"/>
      </w:rPr>
      <w:t>567</w:t>
    </w:r>
  </w:p>
  <w:p w:rsidR="00733D2E" w:rsidRDefault="00733D2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31D2D" w:rsidR="006F1A7A" w:rsidP="006F1A7A" w:rsidRDefault="006F1A7A">
    <w:pPr>
      <w:spacing w:after="0" w:line="240" w:lineRule="auto"/>
      <w:jc w:val="right"/>
      <w:rPr>
        <w:rFonts w:ascii="Arial" w:hAnsi="Arial" w:eastAsia="Times New Roman" w:cs="Arial"/>
        <w:bCs/>
        <w:sz w:val="24"/>
        <w:szCs w:val="24"/>
        <w:lang w:eastAsia="hr-HR"/>
      </w:rPr>
    </w:pPr>
    <w:r w:rsidRPr="00A31D2D">
      <w:rPr>
        <w:rFonts w:ascii="Arial" w:hAnsi="Arial" w:eastAsia="Times New Roman" w:cs="Arial"/>
        <w:bCs/>
        <w:sz w:val="24"/>
        <w:szCs w:val="24"/>
        <w:lang w:eastAsia="hr-HR"/>
      </w:rPr>
      <w:t>Poslovni br. 3. St-</w:t>
    </w:r>
    <w:r w:rsidR="00CB15C0">
      <w:rPr>
        <w:rFonts w:ascii="Arial" w:hAnsi="Arial" w:eastAsia="Times New Roman" w:cs="Arial"/>
        <w:bCs/>
        <w:sz w:val="24"/>
        <w:szCs w:val="24"/>
        <w:lang w:eastAsia="hr-HR"/>
      </w:rPr>
      <w:t>947</w:t>
    </w:r>
    <w:r w:rsidRPr="00A31D2D" w:rsidR="00565899">
      <w:rPr>
        <w:rFonts w:ascii="Arial" w:hAnsi="Arial" w:eastAsia="Times New Roman" w:cs="Arial"/>
        <w:bCs/>
        <w:sz w:val="24"/>
        <w:szCs w:val="24"/>
        <w:lang w:eastAsia="hr-HR"/>
      </w:rPr>
      <w:t>/201</w:t>
    </w:r>
    <w:r w:rsidR="00CB15C0">
      <w:rPr>
        <w:rFonts w:ascii="Arial" w:hAnsi="Arial" w:eastAsia="Times New Roman" w:cs="Arial"/>
        <w:bCs/>
        <w:sz w:val="24"/>
        <w:szCs w:val="24"/>
        <w:lang w:eastAsia="hr-HR"/>
      </w:rPr>
      <w:t>6</w:t>
    </w:r>
    <w:r w:rsidRPr="00A31D2D" w:rsidR="00565899">
      <w:rPr>
        <w:rFonts w:ascii="Arial" w:hAnsi="Arial" w:eastAsia="Times New Roman" w:cs="Arial"/>
        <w:bCs/>
        <w:sz w:val="24"/>
        <w:szCs w:val="24"/>
        <w:lang w:eastAsia="hr-HR"/>
      </w:rPr>
      <w:t>-</w:t>
    </w:r>
    <w:r w:rsidR="00CB15C0">
      <w:rPr>
        <w:rFonts w:ascii="Arial" w:hAnsi="Arial" w:eastAsia="Times New Roman" w:cs="Arial"/>
        <w:bCs/>
        <w:sz w:val="24"/>
        <w:szCs w:val="24"/>
        <w:lang w:eastAsia="hr-HR"/>
      </w:rPr>
      <w:t>567</w:t>
    </w:r>
  </w:p>
  <w:p w:rsidR="006F1A7A" w:rsidRDefault="006F1A7A">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C0414"/>
    <w:multiLevelType w:val="hybridMultilevel"/>
    <w:tmpl w:val="FDD0B5D6"/>
    <w:lvl w:ilvl="0" w:tplc="6EB2220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AF75763"/>
    <w:multiLevelType w:val="hybridMultilevel"/>
    <w:tmpl w:val="DF8C8932"/>
    <w:lvl w:ilvl="0" w:tplc="5B6A732C">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0F6C491F"/>
    <w:multiLevelType w:val="hybridMultilevel"/>
    <w:tmpl w:val="73FA9D88"/>
    <w:lvl w:ilvl="0" w:tplc="CFDEF9C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EB5539F"/>
    <w:multiLevelType w:val="hybridMultilevel"/>
    <w:tmpl w:val="A0927F3E"/>
    <w:lvl w:ilvl="0" w:tplc="9DF40AE0">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91F4B05"/>
    <w:multiLevelType w:val="hybridMultilevel"/>
    <w:tmpl w:val="C9568F10"/>
    <w:lvl w:ilvl="0" w:tplc="9AE24B0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2A348D5"/>
    <w:multiLevelType w:val="hybridMultilevel"/>
    <w:tmpl w:val="778255B6"/>
    <w:lvl w:ilvl="0" w:tplc="01EC10F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EB42E81"/>
    <w:multiLevelType w:val="hybridMultilevel"/>
    <w:tmpl w:val="A580A168"/>
    <w:lvl w:ilvl="0" w:tplc="CEF29646">
      <w:start w:val="1"/>
      <w:numFmt w:val="decimal"/>
      <w:lvlText w:val="%1."/>
      <w:lvlJc w:val="left"/>
      <w:pPr>
        <w:tabs>
          <w:tab w:val="num" w:pos="750"/>
        </w:tabs>
        <w:ind w:left="750" w:hanging="360"/>
      </w:pPr>
      <w:rPr>
        <w:rFonts w:hint="default"/>
      </w:rPr>
    </w:lvl>
    <w:lvl w:ilvl="1" w:tplc="04090019" w:tentative="true">
      <w:start w:val="1"/>
      <w:numFmt w:val="lowerLetter"/>
      <w:lvlText w:val="%2."/>
      <w:lvlJc w:val="left"/>
      <w:pPr>
        <w:tabs>
          <w:tab w:val="num" w:pos="1470"/>
        </w:tabs>
        <w:ind w:left="1470" w:hanging="360"/>
      </w:pPr>
    </w:lvl>
    <w:lvl w:ilvl="2" w:tplc="0409001B" w:tentative="true">
      <w:start w:val="1"/>
      <w:numFmt w:val="lowerRoman"/>
      <w:lvlText w:val="%3."/>
      <w:lvlJc w:val="right"/>
      <w:pPr>
        <w:tabs>
          <w:tab w:val="num" w:pos="2190"/>
        </w:tabs>
        <w:ind w:left="2190" w:hanging="180"/>
      </w:pPr>
    </w:lvl>
    <w:lvl w:ilvl="3" w:tplc="0409000F" w:tentative="true">
      <w:start w:val="1"/>
      <w:numFmt w:val="decimal"/>
      <w:lvlText w:val="%4."/>
      <w:lvlJc w:val="left"/>
      <w:pPr>
        <w:tabs>
          <w:tab w:val="num" w:pos="2910"/>
        </w:tabs>
        <w:ind w:left="2910" w:hanging="360"/>
      </w:pPr>
    </w:lvl>
    <w:lvl w:ilvl="4" w:tplc="04090019" w:tentative="true">
      <w:start w:val="1"/>
      <w:numFmt w:val="lowerLetter"/>
      <w:lvlText w:val="%5."/>
      <w:lvlJc w:val="left"/>
      <w:pPr>
        <w:tabs>
          <w:tab w:val="num" w:pos="3630"/>
        </w:tabs>
        <w:ind w:left="3630" w:hanging="360"/>
      </w:pPr>
    </w:lvl>
    <w:lvl w:ilvl="5" w:tplc="0409001B" w:tentative="true">
      <w:start w:val="1"/>
      <w:numFmt w:val="lowerRoman"/>
      <w:lvlText w:val="%6."/>
      <w:lvlJc w:val="right"/>
      <w:pPr>
        <w:tabs>
          <w:tab w:val="num" w:pos="4350"/>
        </w:tabs>
        <w:ind w:left="4350" w:hanging="180"/>
      </w:pPr>
    </w:lvl>
    <w:lvl w:ilvl="6" w:tplc="0409000F" w:tentative="true">
      <w:start w:val="1"/>
      <w:numFmt w:val="decimal"/>
      <w:lvlText w:val="%7."/>
      <w:lvlJc w:val="left"/>
      <w:pPr>
        <w:tabs>
          <w:tab w:val="num" w:pos="5070"/>
        </w:tabs>
        <w:ind w:left="5070" w:hanging="360"/>
      </w:pPr>
    </w:lvl>
    <w:lvl w:ilvl="7" w:tplc="04090019" w:tentative="true">
      <w:start w:val="1"/>
      <w:numFmt w:val="lowerLetter"/>
      <w:lvlText w:val="%8."/>
      <w:lvlJc w:val="left"/>
      <w:pPr>
        <w:tabs>
          <w:tab w:val="num" w:pos="5790"/>
        </w:tabs>
        <w:ind w:left="5790" w:hanging="360"/>
      </w:pPr>
    </w:lvl>
    <w:lvl w:ilvl="8" w:tplc="0409001B" w:tentative="true">
      <w:start w:val="1"/>
      <w:numFmt w:val="lowerRoman"/>
      <w:lvlText w:val="%9."/>
      <w:lvlJc w:val="right"/>
      <w:pPr>
        <w:tabs>
          <w:tab w:val="num" w:pos="6510"/>
        </w:tabs>
        <w:ind w:left="6510" w:hanging="180"/>
      </w:pPr>
    </w:lvl>
  </w:abstractNum>
  <w:num w:numId="1">
    <w:abstractNumId w:val="6"/>
  </w:num>
  <w:num w:numId="2">
    <w:abstractNumId w:val="1"/>
  </w:num>
  <w:num w:numId="3">
    <w:abstractNumId w:val="5"/>
  </w:num>
  <w:num w:numId="4">
    <w:abstractNumId w:val="3"/>
  </w:num>
  <w:num w:numId="5">
    <w:abstractNumId w:val="0"/>
  </w:num>
  <w:num w:numId="6">
    <w:abstractNumId w:val="2"/>
  </w:num>
  <w:num w:numId="7">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E55"/>
    <w:rsid w:val="000473D3"/>
    <w:rsid w:val="00083839"/>
    <w:rsid w:val="000A5046"/>
    <w:rsid w:val="000C2E49"/>
    <w:rsid w:val="00101A52"/>
    <w:rsid w:val="001528AA"/>
    <w:rsid w:val="001875A7"/>
    <w:rsid w:val="00223F83"/>
    <w:rsid w:val="00260FCC"/>
    <w:rsid w:val="002719DE"/>
    <w:rsid w:val="00287F22"/>
    <w:rsid w:val="00297DF2"/>
    <w:rsid w:val="002A6826"/>
    <w:rsid w:val="002E4B69"/>
    <w:rsid w:val="002F0DFF"/>
    <w:rsid w:val="003061A0"/>
    <w:rsid w:val="003939C3"/>
    <w:rsid w:val="003C4DB0"/>
    <w:rsid w:val="003D4612"/>
    <w:rsid w:val="003D6339"/>
    <w:rsid w:val="00400968"/>
    <w:rsid w:val="00427CD3"/>
    <w:rsid w:val="0043071A"/>
    <w:rsid w:val="00477CDC"/>
    <w:rsid w:val="004842C7"/>
    <w:rsid w:val="004C154D"/>
    <w:rsid w:val="004C7196"/>
    <w:rsid w:val="004D5CBA"/>
    <w:rsid w:val="005616EF"/>
    <w:rsid w:val="00565899"/>
    <w:rsid w:val="005670FB"/>
    <w:rsid w:val="00574A2F"/>
    <w:rsid w:val="005A54CE"/>
    <w:rsid w:val="005D684B"/>
    <w:rsid w:val="0060270A"/>
    <w:rsid w:val="00635B78"/>
    <w:rsid w:val="006528BB"/>
    <w:rsid w:val="006A20E6"/>
    <w:rsid w:val="006A6324"/>
    <w:rsid w:val="006D0142"/>
    <w:rsid w:val="006E2551"/>
    <w:rsid w:val="006F1A7A"/>
    <w:rsid w:val="0070427A"/>
    <w:rsid w:val="00733D2E"/>
    <w:rsid w:val="007741C1"/>
    <w:rsid w:val="007C39CC"/>
    <w:rsid w:val="007F3E8C"/>
    <w:rsid w:val="00803B22"/>
    <w:rsid w:val="00832CC7"/>
    <w:rsid w:val="00854707"/>
    <w:rsid w:val="00867F12"/>
    <w:rsid w:val="00882989"/>
    <w:rsid w:val="008A4889"/>
    <w:rsid w:val="00924AA9"/>
    <w:rsid w:val="00930752"/>
    <w:rsid w:val="00932643"/>
    <w:rsid w:val="00962283"/>
    <w:rsid w:val="009941B6"/>
    <w:rsid w:val="009A5E88"/>
    <w:rsid w:val="00A21AA1"/>
    <w:rsid w:val="00A31D2D"/>
    <w:rsid w:val="00A703AD"/>
    <w:rsid w:val="00A86CD1"/>
    <w:rsid w:val="00A86E55"/>
    <w:rsid w:val="00AE51FC"/>
    <w:rsid w:val="00B223E6"/>
    <w:rsid w:val="00B40693"/>
    <w:rsid w:val="00B714EE"/>
    <w:rsid w:val="00B8323B"/>
    <w:rsid w:val="00BA1856"/>
    <w:rsid w:val="00BB3006"/>
    <w:rsid w:val="00BE2E33"/>
    <w:rsid w:val="00C17C22"/>
    <w:rsid w:val="00C31325"/>
    <w:rsid w:val="00C3541D"/>
    <w:rsid w:val="00C35FAD"/>
    <w:rsid w:val="00C65A80"/>
    <w:rsid w:val="00C871D2"/>
    <w:rsid w:val="00C96564"/>
    <w:rsid w:val="00CB15C0"/>
    <w:rsid w:val="00CC55ED"/>
    <w:rsid w:val="00CD11B8"/>
    <w:rsid w:val="00CE69A8"/>
    <w:rsid w:val="00D55304"/>
    <w:rsid w:val="00DC27F2"/>
    <w:rsid w:val="00DC7436"/>
    <w:rsid w:val="00DD5A91"/>
    <w:rsid w:val="00E05E86"/>
    <w:rsid w:val="00E75DAC"/>
    <w:rsid w:val="00EA1D41"/>
    <w:rsid w:val="00EB40D5"/>
    <w:rsid w:val="00F15043"/>
    <w:rsid w:val="00F502DB"/>
    <w:rsid w:val="00F61958"/>
    <w:rsid w:val="00F72A25"/>
    <w:rsid w:val="00F83200"/>
    <w:rsid w:val="00F8679F"/>
    <w:rsid w:val="00F97F1C"/>
    <w:rsid w:val="00FC4E79"/>
    <w:rsid w:val="00FE0C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paragraph" w:styleId="Naslov2">
    <w:name w:val="heading 2"/>
    <w:basedOn w:val="Normal"/>
    <w:link w:val="Naslov2Char"/>
    <w:uiPriority w:val="9"/>
    <w:qFormat/>
    <w:rsid w:val="00297DF2"/>
    <w:pPr>
      <w:spacing w:before="100" w:beforeAutospacing="true" w:after="100" w:afterAutospacing="true" w:line="240" w:lineRule="auto"/>
      <w:outlineLvl w:val="1"/>
    </w:pPr>
    <w:rPr>
      <w:rFonts w:ascii="Times New Roman" w:hAnsi="Times New Roman" w:eastAsia="Times New Roman"/>
      <w:b/>
      <w:bCs/>
      <w:sz w:val="36"/>
      <w:szCs w:val="36"/>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62283"/>
    <w:pPr>
      <w:ind w:left="720"/>
      <w:contextualSpacing/>
    </w:pPr>
  </w:style>
  <w:style w:type="paragraph" w:styleId="Zaglavlje">
    <w:name w:val="header"/>
    <w:basedOn w:val="Normal"/>
    <w:link w:val="ZaglavljeChar"/>
    <w:uiPriority w:val="99"/>
    <w:unhideWhenUsed/>
    <w:rsid w:val="00733D2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33D2E"/>
    <w:rPr>
      <w:sz w:val="22"/>
      <w:szCs w:val="22"/>
      <w:lang w:eastAsia="en-US"/>
    </w:rPr>
  </w:style>
  <w:style w:type="paragraph" w:styleId="Podnoje">
    <w:name w:val="footer"/>
    <w:basedOn w:val="Normal"/>
    <w:link w:val="PodnojeChar"/>
    <w:uiPriority w:val="99"/>
    <w:unhideWhenUsed/>
    <w:rsid w:val="00733D2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33D2E"/>
    <w:rPr>
      <w:sz w:val="22"/>
      <w:szCs w:val="22"/>
      <w:lang w:eastAsia="en-US"/>
    </w:rPr>
  </w:style>
  <w:style w:type="paragraph" w:styleId="Tekstbalonia">
    <w:name w:val="Balloon Text"/>
    <w:basedOn w:val="Normal"/>
    <w:link w:val="TekstbaloniaChar"/>
    <w:uiPriority w:val="99"/>
    <w:semiHidden/>
    <w:unhideWhenUsed/>
    <w:rsid w:val="0085470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54707"/>
    <w:rPr>
      <w:rFonts w:ascii="Tahoma" w:hAnsi="Tahoma" w:cs="Tahoma"/>
      <w:sz w:val="16"/>
      <w:szCs w:val="16"/>
      <w:lang w:eastAsia="en-US"/>
    </w:rPr>
  </w:style>
  <w:style w:type="paragraph" w:styleId="Default" w:customStyle="true">
    <w:name w:val="Default"/>
    <w:rsid w:val="001875A7"/>
    <w:pPr>
      <w:autoSpaceDE w:val="false"/>
      <w:autoSpaceDN w:val="false"/>
      <w:adjustRightInd w:val="false"/>
    </w:pPr>
    <w:rPr>
      <w:rFonts w:ascii="Times New Roman" w:hAnsi="Times New Roman"/>
      <w:color w:val="000000"/>
      <w:sz w:val="24"/>
      <w:szCs w:val="24"/>
    </w:rPr>
  </w:style>
  <w:style w:type="character" w:styleId="Naslov2Char" w:customStyle="true">
    <w:name w:val="Naslov 2 Char"/>
    <w:basedOn w:val="Zadanifontodlomka"/>
    <w:link w:val="Naslov2"/>
    <w:uiPriority w:val="9"/>
    <w:rsid w:val="00297DF2"/>
    <w:rPr>
      <w:rFonts w:ascii="Times New Roman" w:hAnsi="Times New Roman" w:eastAsia="Times New Roman"/>
      <w:b/>
      <w:bCs/>
      <w:sz w:val="36"/>
      <w:szCs w:val="3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styleId="Naslov2" w:type="paragraph">
    <w:name w:val="heading 2"/>
    <w:basedOn w:val="Normal"/>
    <w:link w:val="Naslov2Char"/>
    <w:uiPriority w:val="9"/>
    <w:qFormat/>
    <w:rsid w:val="00297DF2"/>
    <w:pPr>
      <w:spacing w:after="100" w:afterAutospacing="1" w:before="100" w:beforeAutospacing="1" w:line="240" w:lineRule="auto"/>
      <w:outlineLvl w:val="1"/>
    </w:pPr>
    <w:rPr>
      <w:rFonts w:ascii="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62283"/>
    <w:pPr>
      <w:ind w:left="720"/>
      <w:contextualSpacing/>
    </w:pPr>
  </w:style>
  <w:style w:styleId="Zaglavlje" w:type="paragraph">
    <w:name w:val="header"/>
    <w:basedOn w:val="Normal"/>
    <w:link w:val="ZaglavljeChar"/>
    <w:uiPriority w:val="99"/>
    <w:unhideWhenUsed/>
    <w:rsid w:val="00733D2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3D2E"/>
    <w:rPr>
      <w:sz w:val="22"/>
      <w:szCs w:val="22"/>
      <w:lang w:eastAsia="en-US"/>
    </w:rPr>
  </w:style>
  <w:style w:styleId="Podnoje" w:type="paragraph">
    <w:name w:val="footer"/>
    <w:basedOn w:val="Normal"/>
    <w:link w:val="PodnojeChar"/>
    <w:uiPriority w:val="99"/>
    <w:unhideWhenUsed/>
    <w:rsid w:val="00733D2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3D2E"/>
    <w:rPr>
      <w:sz w:val="22"/>
      <w:szCs w:val="22"/>
      <w:lang w:eastAsia="en-US"/>
    </w:rPr>
  </w:style>
  <w:style w:styleId="Tekstbalonia" w:type="paragraph">
    <w:name w:val="Balloon Text"/>
    <w:basedOn w:val="Normal"/>
    <w:link w:val="TekstbaloniaChar"/>
    <w:uiPriority w:val="99"/>
    <w:semiHidden/>
    <w:unhideWhenUsed/>
    <w:rsid w:val="0085470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707"/>
    <w:rPr>
      <w:rFonts w:ascii="Tahoma" w:cs="Tahoma" w:hAnsi="Tahoma"/>
      <w:sz w:val="16"/>
      <w:szCs w:val="16"/>
      <w:lang w:eastAsia="en-US"/>
    </w:rPr>
  </w:style>
  <w:style w:customStyle="1" w:styleId="Default" w:type="paragraph">
    <w:name w:val="Default"/>
    <w:rsid w:val="001875A7"/>
    <w:pPr>
      <w:autoSpaceDE w:val="0"/>
      <w:autoSpaceDN w:val="0"/>
      <w:adjustRightInd w:val="0"/>
    </w:pPr>
    <w:rPr>
      <w:rFonts w:ascii="Times New Roman" w:hAnsi="Times New Roman"/>
      <w:color w:val="000000"/>
      <w:sz w:val="24"/>
      <w:szCs w:val="24"/>
    </w:rPr>
  </w:style>
  <w:style w:customStyle="1" w:styleId="Naslov2Char" w:type="character">
    <w:name w:val="Naslov 2 Char"/>
    <w:basedOn w:val="Zadanifontodlomka"/>
    <w:link w:val="Naslov2"/>
    <w:uiPriority w:val="9"/>
    <w:rsid w:val="00297DF2"/>
    <w:rPr>
      <w:rFonts w:ascii="Times New Roman" w:eastAsia="Times New Roman" w:hAnsi="Times New Roman"/>
      <w:b/>
      <w:bCs/>
      <w:sz w:val="36"/>
      <w:szCs w:val="36"/>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0860271">
      <w:bodyDiv w:val="true"/>
      <w:marLeft w:val="0"/>
      <w:marRight w:val="0"/>
      <w:marTop w:val="0"/>
      <w:marBottom w:val="0"/>
      <w:divBdr>
        <w:top w:val="none" w:color="auto" w:sz="0" w:space="0"/>
        <w:left w:val="none" w:color="auto" w:sz="0" w:space="0"/>
        <w:bottom w:val="none" w:color="auto" w:sz="0" w:space="0"/>
        <w:right w:val="none" w:color="auto" w:sz="0" w:space="0"/>
      </w:divBdr>
    </w:div>
    <w:div w:id="756945671">
      <w:bodyDiv w:val="true"/>
      <w:marLeft w:val="0"/>
      <w:marRight w:val="0"/>
      <w:marTop w:val="0"/>
      <w:marBottom w:val="0"/>
      <w:divBdr>
        <w:top w:val="none" w:color="auto" w:sz="0" w:space="0"/>
        <w:left w:val="none" w:color="auto" w:sz="0" w:space="0"/>
        <w:bottom w:val="none" w:color="auto" w:sz="0" w:space="0"/>
        <w:right w:val="none" w:color="auto" w:sz="0" w:space="0"/>
      </w:divBdr>
    </w:div>
    <w:div w:id="1261572780">
      <w:bodyDiv w:val="true"/>
      <w:marLeft w:val="0"/>
      <w:marRight w:val="0"/>
      <w:marTop w:val="0"/>
      <w:marBottom w:val="0"/>
      <w:divBdr>
        <w:top w:val="none" w:color="auto" w:sz="0" w:space="0"/>
        <w:left w:val="none" w:color="auto" w:sz="0" w:space="0"/>
        <w:bottom w:val="none" w:color="auto" w:sz="0" w:space="0"/>
        <w:right w:val="none" w:color="auto" w:sz="0" w:space="0"/>
      </w:divBdr>
    </w:div>
    <w:div w:id="1462965152">
      <w:bodyDiv w:val="true"/>
      <w:marLeft w:val="0"/>
      <w:marRight w:val="0"/>
      <w:marTop w:val="0"/>
      <w:marBottom w:val="0"/>
      <w:divBdr>
        <w:top w:val="none" w:color="auto" w:sz="0" w:space="0"/>
        <w:left w:val="none" w:color="auto" w:sz="0" w:space="0"/>
        <w:bottom w:val="none" w:color="auto" w:sz="0" w:space="0"/>
        <w:right w:val="none" w:color="auto" w:sz="0" w:space="0"/>
      </w:divBdr>
    </w:div>
    <w:div w:id="18135234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3A0B6D41-D7FC-4C7E-B0E0-1E3AA24C315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1892</properties:Words>
  <properties:Characters>10790</properties:Characters>
  <properties:Lines>89</properties:Lines>
  <properties:Paragraphs>25</properties:Paragraphs>
  <properties:TotalTime>451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2018-07-05T07:19:00Z</dcterms:created>
  <dc:creator>Josipa Dorkin</dc:creator>
  <cp:lastModifiedBy>Tina Grgas</cp:lastModifiedBy>
  <cp:lastPrinted>2022-05-02T07:01:00Z</cp:lastPrinted>
  <dcterms:modified xmlns:xsi="http://www.w3.org/2001/XMLSchema-instance" xsi:type="dcterms:W3CDTF">2022-05-02T08:13:00Z</dcterms:modified>
  <cp:revision>42</cp:revision>
</cp:coreProperties>
</file>